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CEA8C9E" w:rsidR="000E0825" w:rsidRDefault="00F82CA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F82CA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Послуги з поточного ремонту наземного роботизованого комплексу «Мураха»</w:t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Pr="009130AF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96EC18F" w:rsidR="00D9450C" w:rsidRPr="00496E15" w:rsidRDefault="00F82CA5" w:rsidP="00496E15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F82CA5">
              <w:rPr>
                <w:rFonts w:eastAsia="Times New Roman"/>
                <w:iCs/>
                <w:sz w:val="24"/>
                <w:szCs w:val="24"/>
                <w:lang w:eastAsia="uk-UA"/>
              </w:rPr>
              <w:t>50110000-9 — Послуги з ремонту і технічного обслуговування мототранспортних засобів і супутнього обладнання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091A76E" w:rsidR="00516F65" w:rsidRPr="00107F59" w:rsidRDefault="00C25AD6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25AD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UA-2025-10-10-000893-a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B56A358" w14:textId="4D08FFE8" w:rsidR="00166189" w:rsidRDefault="00095EE4" w:rsidP="00FE1D2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</w:t>
            </w:r>
            <w:r w:rsidR="00F85DA7">
              <w:rPr>
                <w:sz w:val="24"/>
                <w:szCs w:val="24"/>
              </w:rPr>
              <w:t>здійсненні п</w:t>
            </w:r>
            <w:r w:rsidR="00F85DA7" w:rsidRPr="00F85DA7">
              <w:rPr>
                <w:sz w:val="24"/>
                <w:szCs w:val="24"/>
              </w:rPr>
              <w:t>ослуг з поточного ремонту наземного роботизованого комплексу «Мураха»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97982">
              <w:rPr>
                <w:sz w:val="24"/>
                <w:szCs w:val="24"/>
              </w:rPr>
              <w:t>Послуги повинні відповідати</w:t>
            </w:r>
            <w:r w:rsidR="000B29DA" w:rsidRPr="009130AF">
              <w:rPr>
                <w:sz w:val="24"/>
                <w:szCs w:val="24"/>
              </w:rPr>
              <w:t xml:space="preserve"> технічним характеристикам Замовника та якість </w:t>
            </w:r>
            <w:r w:rsidR="00597982">
              <w:rPr>
                <w:sz w:val="24"/>
                <w:szCs w:val="24"/>
              </w:rPr>
              <w:t>яких</w:t>
            </w:r>
            <w:r w:rsidR="000B29DA" w:rsidRPr="009130AF">
              <w:rPr>
                <w:sz w:val="24"/>
                <w:szCs w:val="24"/>
              </w:rPr>
              <w:t xml:space="preserve"> має відповідати чинним нормам якості для </w:t>
            </w:r>
            <w:r w:rsidR="00597982">
              <w:rPr>
                <w:sz w:val="24"/>
                <w:szCs w:val="24"/>
              </w:rPr>
              <w:t>послуг</w:t>
            </w:r>
            <w:r w:rsidR="000B29DA" w:rsidRPr="009130AF">
              <w:rPr>
                <w:sz w:val="24"/>
                <w:szCs w:val="24"/>
              </w:rPr>
              <w:t xml:space="preserve">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59402524" w14:textId="576CA68A" w:rsidR="00516F65" w:rsidRPr="008E1A36" w:rsidRDefault="008E1A36" w:rsidP="003E53D2">
            <w:pPr>
              <w:spacing w:after="160"/>
              <w:contextualSpacing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  <w:r w:rsidRPr="008E1A36">
              <w:rPr>
                <w:rFonts w:eastAsia="Arial" w:cs="Calibri"/>
                <w:sz w:val="24"/>
                <w:szCs w:val="24"/>
                <w:lang w:eastAsia="ru-RU"/>
              </w:rPr>
              <w:t>Учасник до ціни послуг включає всі витрати, які можуть бути понесені у зв’язку з виконанням ним договірних зобов’язань, в тому числі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9424495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E53D2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BA5C6C8" w:rsidR="00516F65" w:rsidRPr="009130AF" w:rsidRDefault="003E53D2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E53D2">
              <w:rPr>
                <w:sz w:val="24"/>
                <w:szCs w:val="24"/>
              </w:rPr>
              <w:t>272830,</w:t>
            </w:r>
            <w:r w:rsidR="00217B68">
              <w:rPr>
                <w:sz w:val="24"/>
                <w:szCs w:val="24"/>
              </w:rPr>
              <w:t>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двісті сімдесят дві тисячі вісімсот тридцять 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DFFA4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215158">
              <w:rPr>
                <w:sz w:val="24"/>
                <w:szCs w:val="24"/>
              </w:rPr>
              <w:t xml:space="preserve">, а також аналіз інформації, отриманої шляхом проведення ринкових  консультацій з метою отримання актуальної інформації, 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D1D96" w14:textId="77777777" w:rsidR="009D3C95" w:rsidRDefault="009D3C95" w:rsidP="003F52D9">
      <w:pPr>
        <w:spacing w:after="0" w:line="240" w:lineRule="auto"/>
      </w:pPr>
      <w:r>
        <w:separator/>
      </w:r>
    </w:p>
  </w:endnote>
  <w:endnote w:type="continuationSeparator" w:id="0">
    <w:p w14:paraId="19592F7F" w14:textId="77777777" w:rsidR="009D3C95" w:rsidRDefault="009D3C9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3B774" w14:textId="77777777" w:rsidR="009D3C95" w:rsidRDefault="009D3C95" w:rsidP="003F52D9">
      <w:pPr>
        <w:spacing w:after="0" w:line="240" w:lineRule="auto"/>
      </w:pPr>
      <w:r>
        <w:separator/>
      </w:r>
    </w:p>
  </w:footnote>
  <w:footnote w:type="continuationSeparator" w:id="0">
    <w:p w14:paraId="2C57128C" w14:textId="77777777" w:rsidR="009D3C95" w:rsidRDefault="009D3C9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C65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5158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53D2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97982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1A3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3C95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5AD6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2CA5"/>
    <w:rsid w:val="00F85DA7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44</cp:revision>
  <cp:lastPrinted>2025-10-13T11:47:00Z</cp:lastPrinted>
  <dcterms:created xsi:type="dcterms:W3CDTF">2025-01-20T14:26:00Z</dcterms:created>
  <dcterms:modified xsi:type="dcterms:W3CDTF">2025-10-13T12:06:00Z</dcterms:modified>
</cp:coreProperties>
</file>