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388FAD2" w14:textId="77777777" w:rsidR="00F37AB2" w:rsidRPr="00217238" w:rsidRDefault="00F37AB2" w:rsidP="00F37AB2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left="-284" w:right="-1" w:firstLine="0"/>
              <w:jc w:val="both"/>
              <w:rPr>
                <w:b/>
                <w:sz w:val="24"/>
                <w:szCs w:val="24"/>
              </w:rPr>
            </w:pPr>
            <w:bookmarkStart w:id="0" w:name="_Hlk165279619"/>
            <w:r>
              <w:rPr>
                <w:bCs/>
                <w:sz w:val="24"/>
                <w:szCs w:val="24"/>
              </w:rPr>
              <w:t>Безпілотні літальні апарати</w:t>
            </w:r>
          </w:p>
          <w:p w14:paraId="17E3546A" w14:textId="62B61ED6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1688A38C" w14:textId="77777777" w:rsidR="00F37AB2" w:rsidRPr="00F37AB2" w:rsidRDefault="00F37AB2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37A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 Вертольоти, літаки, космічні та інші літальні апарати з двигуном</w:t>
            </w:r>
          </w:p>
          <w:p w14:paraId="6B70925C" w14:textId="12F6DFF1" w:rsidR="00D9450C" w:rsidRPr="00107F59" w:rsidRDefault="00F37AB2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37AB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6679195" w:rsidR="00516F65" w:rsidRPr="00D962DF" w:rsidRDefault="003322A1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3322A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UA-2025-05-23-011031-a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748A26B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F37AB2">
              <w:rPr>
                <w:sz w:val="24"/>
                <w:szCs w:val="24"/>
              </w:rPr>
              <w:t>безпілотних літальних апаратів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D84C0D" w:rsidR="00516F65" w:rsidRPr="00BA693E" w:rsidRDefault="00F37AB2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37AB2">
              <w:rPr>
                <w:sz w:val="24"/>
                <w:szCs w:val="24"/>
              </w:rPr>
              <w:t>1 025 000,00 грн. без ПДВ (один мільйон двадцять п’ять тисяч  гривень 00 копійок, без ПДВ)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5F9F" w14:textId="77777777" w:rsidR="00C87EE1" w:rsidRDefault="00C87EE1" w:rsidP="003F52D9">
      <w:pPr>
        <w:spacing w:after="0" w:line="240" w:lineRule="auto"/>
      </w:pPr>
      <w:r>
        <w:separator/>
      </w:r>
    </w:p>
  </w:endnote>
  <w:endnote w:type="continuationSeparator" w:id="0">
    <w:p w14:paraId="72F97DF7" w14:textId="77777777" w:rsidR="00C87EE1" w:rsidRDefault="00C87EE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A55E" w14:textId="77777777" w:rsidR="00C87EE1" w:rsidRDefault="00C87EE1" w:rsidP="003F52D9">
      <w:pPr>
        <w:spacing w:after="0" w:line="240" w:lineRule="auto"/>
      </w:pPr>
      <w:r>
        <w:separator/>
      </w:r>
    </w:p>
  </w:footnote>
  <w:footnote w:type="continuationSeparator" w:id="0">
    <w:p w14:paraId="660F72B7" w14:textId="77777777" w:rsidR="00C87EE1" w:rsidRDefault="00C87EE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1"/>
  </w:num>
  <w:num w:numId="2" w16cid:durableId="391663765">
    <w:abstractNumId w:val="4"/>
  </w:num>
  <w:num w:numId="3" w16cid:durableId="1279147169">
    <w:abstractNumId w:val="3"/>
  </w:num>
  <w:num w:numId="4" w16cid:durableId="1499998643">
    <w:abstractNumId w:val="2"/>
  </w:num>
  <w:num w:numId="5" w16cid:durableId="1017318582">
    <w:abstractNumId w:val="7"/>
  </w:num>
  <w:num w:numId="6" w16cid:durableId="213154592">
    <w:abstractNumId w:val="6"/>
  </w:num>
  <w:num w:numId="7" w16cid:durableId="1800568411">
    <w:abstractNumId w:val="5"/>
  </w:num>
  <w:num w:numId="8" w16cid:durableId="21065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062E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7B16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2A1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65C24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87EE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AB2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9</cp:revision>
  <cp:lastPrinted>2025-04-10T06:44:00Z</cp:lastPrinted>
  <dcterms:created xsi:type="dcterms:W3CDTF">2025-04-10T06:50:00Z</dcterms:created>
  <dcterms:modified xsi:type="dcterms:W3CDTF">2025-05-23T13:11:00Z</dcterms:modified>
</cp:coreProperties>
</file>