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76" w:beforeAutospacing="0" w:afterAutospacing="0"/>
        <w:ind w:right="281"/>
        <w:jc w:val="right"/>
        <w:rPr>
          <w:sz w:val="24"/>
        </w:rPr>
      </w:pPr>
      <w:r>
        <w:rPr>
          <w:sz w:val="24"/>
        </w:rPr>
        <w:t>Додаток</w:t>
      </w:r>
      <w:r>
        <w:rPr>
          <w:sz w:val="24"/>
          <w:spacing w:val="60"/>
        </w:rPr>
        <w:t xml:space="preserve"> 3</w:t>
      </w:r>
      <w:bookmarkStart w:id="0" w:name="_GoBack"/>
      <w:bookmarkEnd w:id="0"/>
    </w:p>
    <w:p>
      <w:pPr>
        <w:rPr>
          <w:sz w:val="24"/>
        </w:rPr>
      </w:pPr>
    </w:p>
    <w:p>
      <w:pPr>
        <w:pStyle w:val="P1"/>
        <w:ind w:left="80" w:right="221"/>
        <w:jc w:val="center"/>
      </w:pPr>
      <w:r>
        <w:rPr>
          <w:spacing w:val="-2"/>
        </w:rPr>
        <w:t>ПЕРЕЛІК</w:t>
      </w:r>
    </w:p>
    <w:p>
      <w:pPr>
        <w:pStyle w:val="P1"/>
        <w:ind w:left="80" w:right="160"/>
        <w:jc w:val="center"/>
      </w:pPr>
      <w:r>
        <w:t>послуг,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надаються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старост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зареєстровані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проживають</w:t>
      </w:r>
      <w:r>
        <w:rPr>
          <w:spacing w:val="-4"/>
        </w:rPr>
        <w:t xml:space="preserve"> </w:t>
      </w:r>
      <w:r>
        <w:t>на території відповідного населеного пункту (пунктів)</w:t>
      </w:r>
    </w:p>
    <w:p>
      <w:pPr>
        <w:spacing w:before="46" w:beforeAutospacing="0" w:afterAutospacing="0"/>
        <w:rPr>
          <w:b w:val="1"/>
          <w:sz w:val="20"/>
        </w:rPr>
      </w:pPr>
    </w:p>
    <w:tbl>
      <w:tblPr>
        <w:tblStyle w:val="T2"/>
        <w:tblW w:w="0" w:type="auto"/>
        <w:tblInd w:w="3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1103"/>
        </w:trPr>
        <w:tc>
          <w:tcPr>
            <w:tcW w:w="1101" w:type="dxa"/>
          </w:tcPr>
          <w:p/>
          <w:p>
            <w:r>
              <w:t>№ з/п</w:t>
            </w:r>
          </w:p>
        </w:tc>
        <w:tc>
          <w:tcPr>
            <w:tcW w:w="1417" w:type="dxa"/>
          </w:tcPr>
          <w:p>
            <w:r>
              <w:t>Шифр послуги/іде нтифікатор послуги</w:t>
            </w:r>
          </w:p>
        </w:tc>
        <w:tc>
          <w:tcPr>
            <w:tcW w:w="5387" w:type="dxa"/>
          </w:tcPr>
          <w:p/>
          <w:p>
            <w:r>
              <w:t>Назва послуги</w:t>
            </w:r>
          </w:p>
        </w:tc>
        <w:tc>
          <w:tcPr>
            <w:tcW w:w="1984" w:type="dxa"/>
          </w:tcPr>
          <w:p/>
          <w:p>
            <w:r>
              <w:t>Суб’єкт надання послуги</w:t>
            </w:r>
          </w:p>
        </w:tc>
      </w:tr>
      <w:tr>
        <w:trPr>
          <w:trHeight w:hRule="atLeast" w:val="551"/>
        </w:trPr>
        <w:tc>
          <w:tcPr>
            <w:tcW w:w="9889" w:type="dxa"/>
            <w:gridSpan w:val="4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Розділ І. Послуги територіальних органів центральних органів виконавчої влади</w:t>
            </w:r>
          </w:p>
        </w:tc>
      </w:tr>
      <w:tr>
        <w:trPr>
          <w:trHeight w:hRule="atLeast" w:val="1655"/>
        </w:trPr>
        <w:tc>
          <w:tcPr>
            <w:tcW w:w="1101" w:type="dxa"/>
            <w:vAlign w:val="center"/>
          </w:tcPr>
          <w:p>
            <w:pPr>
              <w:pStyle w:val="P2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Align w:val="center"/>
          </w:tcPr>
          <w:p>
            <w:r>
              <w:t>АПФ-01/</w:t>
            </w:r>
          </w:p>
          <w:p>
            <w:r>
              <w:t>00155</w:t>
            </w:r>
          </w:p>
        </w:tc>
        <w:tc>
          <w:tcPr>
            <w:tcW w:w="5387" w:type="dxa"/>
            <w:vAlign w:val="center"/>
          </w:tcPr>
          <w:p>
            <w: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984" w:type="dxa"/>
            <w:vAlign w:val="center"/>
          </w:tcPr>
          <w:p>
            <w:r>
              <w:t>Головне управління Пенсійного фонду України в Тернопільській області</w:t>
            </w:r>
          </w:p>
        </w:tc>
      </w:tr>
      <w:tr>
        <w:trPr>
          <w:trHeight w:hRule="atLeast" w:val="1655"/>
        </w:trPr>
        <w:tc>
          <w:tcPr>
            <w:tcW w:w="1101" w:type="dxa"/>
            <w:vAlign w:val="center"/>
          </w:tcPr>
          <w:p>
            <w:pPr>
              <w:pStyle w:val="P2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Align w:val="center"/>
          </w:tcPr>
          <w:p>
            <w:r>
              <w:t>АПФ-02/</w:t>
            </w:r>
          </w:p>
          <w:p>
            <w:r>
              <w:t>01974</w:t>
            </w:r>
          </w:p>
        </w:tc>
        <w:tc>
          <w:tcPr>
            <w:tcW w:w="5387" w:type="dxa"/>
            <w:vAlign w:val="center"/>
          </w:tcPr>
          <w:p>
            <w:r>
              <w:t>Надання пільг на оплату житлово-комунальних послуг</w:t>
            </w:r>
          </w:p>
        </w:tc>
        <w:tc>
          <w:tcPr>
            <w:tcW w:w="1984" w:type="dxa"/>
            <w:vAlign w:val="center"/>
          </w:tcPr>
          <w:p>
            <w:r>
              <w:t>Головне управління Пенсійного фонду України в Тернопільській області</w:t>
            </w:r>
          </w:p>
        </w:tc>
      </w:tr>
      <w:tr>
        <w:trPr>
          <w:trHeight w:hRule="atLeast" w:val="1655"/>
        </w:trPr>
        <w:tc>
          <w:tcPr>
            <w:tcW w:w="1101" w:type="dxa"/>
            <w:vAlign w:val="center"/>
          </w:tcPr>
          <w:p>
            <w:pPr>
              <w:pStyle w:val="P2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Align w:val="center"/>
          </w:tcPr>
          <w:p>
            <w:r>
              <w:t>АПФ-03/</w:t>
            </w:r>
          </w:p>
          <w:p>
            <w:r>
              <w:t>00157</w:t>
            </w:r>
          </w:p>
        </w:tc>
        <w:tc>
          <w:tcPr>
            <w:tcW w:w="5387" w:type="dxa"/>
            <w:vAlign w:val="center"/>
          </w:tcPr>
          <w:p>
            <w:r>
              <w:t>Призначення пільг на придбання твердого та рідкого пічного побутового палива і скрапленого газу</w:t>
            </w:r>
          </w:p>
        </w:tc>
        <w:tc>
          <w:tcPr>
            <w:tcW w:w="1984" w:type="dxa"/>
            <w:vAlign w:val="center"/>
          </w:tcPr>
          <w:p>
            <w:r>
              <w:t>Головне управління Пенсійного фонду України в Тернопільській області</w:t>
            </w:r>
          </w:p>
        </w:tc>
      </w:tr>
    </w:tbl>
    <w:p>
      <w:pPr>
        <w:spacing w:before="10" w:beforeAutospacing="0" w:afterAutospacing="0"/>
        <w:rPr>
          <w:b w:val="1"/>
          <w:sz w:val="24"/>
        </w:rPr>
      </w:pPr>
    </w:p>
    <w:p>
      <w:pPr>
        <w:spacing w:before="10" w:beforeAutospacing="0" w:afterAutospacing="0"/>
        <w:rPr>
          <w:b w:val="1"/>
          <w:sz w:val="24"/>
        </w:rPr>
      </w:pPr>
    </w:p>
    <w:p>
      <w:pPr>
        <w:spacing w:before="10" w:beforeAutospacing="0" w:afterAutospacing="0"/>
        <w:rPr>
          <w:b w:val="1"/>
          <w:sz w:val="24"/>
        </w:rPr>
      </w:pPr>
    </w:p>
    <w:p>
      <w:pPr>
        <w:spacing w:before="10" w:beforeAutospacing="0" w:afterAutospacing="0"/>
        <w:rPr>
          <w:b w:val="1"/>
          <w:sz w:val="24"/>
        </w:rPr>
      </w:pPr>
    </w:p>
    <w:p>
      <w:pPr>
        <w:tabs>
          <w:tab w:val="left" w:pos="5027" w:leader="none"/>
        </w:tabs>
        <w:ind w:right="44"/>
        <w:jc w:val="left"/>
        <w:rPr>
          <w:sz w:val="24"/>
        </w:rPr>
      </w:pPr>
      <w:r>
        <w:rPr>
          <w:sz w:val="24"/>
        </w:rPr>
        <w:t>Міський</w:t>
      </w:r>
      <w:r>
        <w:rPr>
          <w:sz w:val="24"/>
          <w:spacing w:val="-7"/>
        </w:rPr>
        <w:t xml:space="preserve"> </w:t>
      </w:r>
      <w:r>
        <w:rPr>
          <w:sz w:val="24"/>
          <w:spacing w:val="-2"/>
        </w:rPr>
        <w:t>голова</w:t>
      </w:r>
      <w:r>
        <w:rPr>
          <w:sz w:val="24"/>
        </w:rPr>
        <w:tab/>
      </w:r>
      <w:r>
        <w:rPr>
          <w:sz w:val="24"/>
        </w:rPr>
        <w:t xml:space="preserve">                               </w:t>
      </w:r>
      <w:r>
        <w:rPr>
          <w:sz w:val="24"/>
        </w:rPr>
        <w:t>Сергій</w:t>
      </w:r>
      <w:r>
        <w:rPr>
          <w:sz w:val="24"/>
          <w:spacing w:val="-8"/>
        </w:rPr>
        <w:t xml:space="preserve"> </w:t>
      </w:r>
      <w:r>
        <w:rPr>
          <w:sz w:val="24"/>
          <w:spacing w:val="-2"/>
        </w:rPr>
        <w:t>НАДАЛ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134" w:beforeAutospacing="0" w:afterAutospacing="0"/>
        <w:rPr>
          <w:sz w:val="20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910" w:h="16840" w:code="0"/>
      <w:pgMar w:left="1559" w:right="283" w:top="1040" w:bottom="280" w:header="717" w:footer="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6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6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6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spacing w:lineRule="auto" w:line="14" w:beforeAutospacing="0" w:afterAutospacing="0"/>
      <w:rPr>
        <w:b w:val="0"/>
        <w:sz w:val="20"/>
      </w:rPr>
    </w:pPr>
    <w:r>
      <w:rPr>
        <w:b w:val="0"/>
        <w:noProof w:val="1"/>
        <w:sz w:val="20"/>
        <w:lang w:eastAsia="uk-UA"/>
      </w:rPr>
      <mc:AlternateContent>
        <mc:Choice Requires="wps">
          <w:drawing>
            <wp:anchor xmlns:wp="http://schemas.openxmlformats.org/drawingml/2006/wordprocessingDrawing" distT="0" distB="0" distL="0" distR="0" simplePos="0" relativeHeight="1" behindDoc="1" locked="0" layoutInCell="1" allowOverlap="1">
              <wp:simplePos x="0" y="0"/>
              <wp:positionH relativeFrom="page">
                <wp:posOffset>4070350</wp:posOffset>
              </wp:positionH>
              <wp:positionV relativeFrom="page">
                <wp:posOffset>442595</wp:posOffset>
              </wp:positionV>
              <wp:extent cx="15240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11" w:beforeAutospacing="0" w:afterAutospacing="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Textbox 1" o:spid="_x0000_s1026" style="position:absolute;width:12pt;height:13.1pt;z-index:1;mso-wrap-distance-left:0pt;mso-wrap-distance-top:0pt;mso-wrap-distance-right:0pt;mso-wrap-distance-bottom:0pt;margin-left:320.5pt;margin-top:34.85pt;mso-position-horizontal:absolute;mso-position-horizontal-relative:page;mso-position-vertical:absolute;mso-position-vertical-relative:page" o:allowincell="t" stroked="f">
              <v:textbox inset="0mm,0mm,0mm,0mm">
                <w:txbxContent>
                  <w:p>
                    <w:pPr>
                      <w:spacing w:before="11" w:beforeAutospacing="0" w:afterAutospacing="0"/>
                      <w:ind w:left="6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</w:pPr>
  </w:p>
</w:hdr>
</file>

<file path=word/numbering.xml><?xml version="1.0" encoding="utf-8"?>
<w:numbering xmlns:w="http://schemas.openxmlformats.org/wordprocessingml/2006/main">
  <w:abstractNum w:abstractNumId="0">
    <w:nsid w:val="59782096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/>
    </w:rPr>
  </w:style>
  <w:style w:type="paragraph" w:styleId="P1">
    <w:name w:val="Body Text"/>
    <w:basedOn w:val="P0"/>
    <w:qFormat/>
    <w:pPr/>
    <w:rPr>
      <w:b w:val="1"/>
      <w:bCs w:val="1"/>
      <w:sz w:val="24"/>
      <w:szCs w:val="24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/>
    <w:rPr/>
  </w:style>
  <w:style w:type="paragraph" w:styleId="P4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paragraph" w:styleId="P5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6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7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8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4"/>
    <w:semiHidden/>
    <w:rPr>
      <w:rFonts w:ascii="Segoe UI" w:hAnsi="Segoe UI"/>
      <w:sz w:val="18"/>
      <w:szCs w:val="18"/>
      <w:lang w:val="uk-UA"/>
    </w:rPr>
  </w:style>
  <w:style w:type="character" w:styleId="C4">
    <w:name w:val="Верхний колонтитул Знак"/>
    <w:basedOn w:val="C0"/>
    <w:link w:val="P5"/>
    <w:rPr>
      <w:rFonts w:ascii="Times New Roman" w:hAnsi="Times New Roman"/>
      <w:lang w:val="uk-UA"/>
    </w:rPr>
  </w:style>
  <w:style w:type="character" w:styleId="C5">
    <w:name w:val="Нижний колонтитул Знак"/>
    <w:basedOn w:val="C0"/>
    <w:link w:val="P6"/>
    <w:rPr>
      <w:rFonts w:ascii="Times New Roman" w:hAnsi="Times New Roman"/>
      <w:lang w:val="uk-UA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7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d30-dudchenko</dc:creator>
  <dcterms:created xsi:type="dcterms:W3CDTF">2025-05-12T08:28:00Z</dcterms:created>
  <cp:lastModifiedBy>askod</cp:lastModifiedBy>
  <cp:lastPrinted>2025-05-12T08:33:00Z</cp:lastPrinted>
  <dcterms:modified xsi:type="dcterms:W3CDTF">2025-05-13T10:23:38Z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2024-08-08T00:00:00Z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Aspose.Words for .NET 22.12.0</vt:lpwstr>
  </property>
</Properties>
</file>