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31831A7E" w14:textId="0EA6A66D" w:rsidR="00300443" w:rsidRPr="00F26DB2" w:rsidRDefault="00F26DB2" w:rsidP="00F26DB2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Hlk165279619"/>
            <w:r w:rsidRPr="00295ED6">
              <w:rPr>
                <w:rFonts w:eastAsia="Times New Roman" w:cs="Times New Roman"/>
                <w:color w:val="000000"/>
                <w:sz w:val="24"/>
                <w:szCs w:val="24"/>
              </w:rPr>
              <w:t>Поточний ремонт приміщення під облаштування відкритого простору «OPEN SPACE» за адресою вул. Доли, 9 м. Тернопіль в рамках проекту «Підтримка Тернопільської міської ради для економічного відновлення шляхом реалізації місцевої ініціативи «Підприємцем бути легко» (SRER Ternopil), який співфінансується за кошти Програми розвитку Організації Об’єднаних Націй (ПРООН) в рамках проекту «Підтримка швидкого економічного відновлення українських муніципалітетів (SRER)» (номер проекту 00134284)</w:t>
            </w:r>
          </w:p>
          <w:p w14:paraId="264A11BC" w14:textId="77777777" w:rsidR="00F26DB2" w:rsidRPr="00F26DB2" w:rsidRDefault="00F26DB2" w:rsidP="00A20DFB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00E919BB" w14:textId="2A4B5008" w:rsidR="00AE6677" w:rsidRPr="00F26DB2" w:rsidRDefault="00A20DFB" w:rsidP="00A20DFB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Код за </w:t>
            </w:r>
            <w:r w:rsidR="00F35E9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>ДК</w:t>
            </w:r>
            <w:r w:rsidR="00D84AB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35E9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>021:2015</w:t>
            </w:r>
            <w:r w:rsidR="00AE6677"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14:paraId="6B70925C" w14:textId="2DE75CA1" w:rsidR="00D9450C" w:rsidRPr="00F26DB2" w:rsidRDefault="00F26DB2" w:rsidP="00300443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6DB2">
              <w:rPr>
                <w:rFonts w:eastAsia="Times New Roman" w:cs="Times New Roman"/>
                <w:color w:val="000000"/>
                <w:sz w:val="24"/>
                <w:szCs w:val="24"/>
              </w:rPr>
              <w:t>45450000-6: Інші завершальні будівельні роботи</w:t>
            </w:r>
            <w:bookmarkEnd w:id="0"/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3EF1ED59" w:rsidR="00516F65" w:rsidRPr="00E53683" w:rsidRDefault="00516F65" w:rsidP="00894E1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68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E53683" w:rsidRPr="00E53683">
              <w:rPr>
                <w:rFonts w:eastAsia="Times New Roman" w:cs="Times New Roman"/>
                <w:color w:val="000000"/>
                <w:sz w:val="24"/>
                <w:szCs w:val="24"/>
              </w:rPr>
              <w:t>UA-2024-03-29-008650-a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28D91ED1" w:rsidR="00516F65" w:rsidRPr="00E2100B" w:rsidRDefault="00B170E3" w:rsidP="00985D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 w:rsidRPr="0058765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Тернопільська міська рада</w:t>
            </w:r>
            <w:r w:rsidR="00407BF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протягом 2024 року</w:t>
            </w:r>
            <w:r w:rsidRPr="0058765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працює над реалізацією місцевої ініціативи «Підприємцем бути легко»  в рамках проєкту «Підтримка швидкого економічного відновлення українських муніципалітетів», за підтримки уряду Німеччини та Програми розвитку ООН (UNDP) в Україні.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F6F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Відповідно є потреб</w:t>
            </w:r>
            <w:r w:rsidR="00BA4DC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="00BF6F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у проведенні</w:t>
            </w:r>
            <w:r w:rsidR="00BF6F28" w:rsidRPr="0058765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процедур</w:t>
            </w:r>
            <w:r w:rsidR="00BF6F2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F6F28" w:rsidRPr="0058765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закупівлі на поточний ремонт приміщення</w:t>
            </w:r>
            <w:r w:rsidR="00BF6F2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="00BF6F28" w:rsidRPr="0058765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прост</w:t>
            </w:r>
            <w:r w:rsidR="00BF6F2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BF6F28" w:rsidRPr="0058765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BF6F2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BF6F28" w:rsidRPr="0058765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«OPEN SPACE Тернопіль» площею 1187 м2</w:t>
            </w:r>
            <w:r w:rsidR="00BF6F2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F6F28" w:rsidRPr="0058765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у системі «Prozorro».</w:t>
            </w:r>
            <w:r w:rsidR="00B12BD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21ECB" w:rsidRPr="00DD11A0">
              <w:rPr>
                <w:rFonts w:eastAsia="Times New Roman" w:cs="Times New Roman"/>
                <w:sz w:val="24"/>
                <w:szCs w:val="24"/>
              </w:rPr>
              <w:t>Послуги повинні бути надані якісно, з додержанням вимог законодавства та умов цього Договору. Виконавець гарантує досягнення визначених показників, якість наданих Послуг і змонтованих конструкцій (обладнання), а також можливість експлуатації Об’єкта протягом гарантійного строку.</w:t>
            </w:r>
            <w:r w:rsidR="00721E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6187A" w:rsidRPr="00DD11A0">
              <w:rPr>
                <w:rFonts w:cs="Times New Roman"/>
                <w:sz w:val="24"/>
                <w:szCs w:val="24"/>
                <w:lang w:eastAsia="uk-UA" w:bidi="uk-UA"/>
              </w:rPr>
              <w:t xml:space="preserve">Виконавець гарантує якість наданих Послуг протягом 2 (двох) років </w:t>
            </w:r>
            <w:r w:rsidR="0026187A" w:rsidRPr="00DD11A0">
              <w:rPr>
                <w:rFonts w:cs="Times New Roman"/>
                <w:sz w:val="24"/>
                <w:szCs w:val="24"/>
                <w:lang w:eastAsia="ar-SA"/>
              </w:rPr>
              <w:t>з дати підписання Сторонами кінцевого Акту приймання виконаних будівельних робіт за формою КБ-2в та Довідки про вартість виконаних будівельних робіт та витрати за формою КБ-3</w:t>
            </w:r>
            <w:r w:rsidR="0026187A">
              <w:rPr>
                <w:rFonts w:cs="Times New Roman"/>
                <w:sz w:val="24"/>
                <w:szCs w:val="24"/>
                <w:lang w:eastAsia="ar-SA"/>
              </w:rPr>
              <w:t xml:space="preserve">. </w:t>
            </w:r>
            <w:r w:rsidR="00181180" w:rsidRPr="00DD11A0">
              <w:rPr>
                <w:rFonts w:eastAsia="Times New Roman" w:cs="Times New Roman"/>
                <w:sz w:val="24"/>
                <w:szCs w:val="24"/>
              </w:rPr>
              <w:t>Усі матеріали, що використовуються для надання Послуг, повинні бути новими, якісними та безпечними, а також відповідати діючим нормативним стандартам щодо виготовлення і використання зазначених матеріалів</w:t>
            </w:r>
            <w:r w:rsidR="00181180">
              <w:rPr>
                <w:rFonts w:eastAsia="Times New Roman" w:cs="Times New Roman"/>
                <w:sz w:val="24"/>
                <w:szCs w:val="24"/>
              </w:rPr>
              <w:t>.</w:t>
            </w:r>
            <w:r w:rsidR="00181180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5D6C5FD7" w14:textId="77777777" w:rsidR="00B16CE7" w:rsidRDefault="00697CFC" w:rsidP="00B16CE7">
            <w:pPr>
              <w:shd w:val="clear" w:color="auto" w:fill="FFFFFF"/>
              <w:jc w:val="both"/>
              <w:rPr>
                <w:rFonts w:eastAsia="Times New Roman" w:cs="Times New Roman"/>
                <w:iCs/>
                <w:sz w:val="24"/>
                <w:szCs w:val="24"/>
                <w:lang w:eastAsia="uk-UA"/>
              </w:rPr>
            </w:pPr>
            <w:r w:rsidRPr="00AB0B61">
              <w:rPr>
                <w:rFonts w:eastAsia="Times New Roman" w:cs="Times New Roman"/>
                <w:iCs/>
                <w:sz w:val="24"/>
                <w:szCs w:val="24"/>
                <w:lang w:eastAsia="uk-UA"/>
              </w:rPr>
              <w:t>Тернопільською міською радою</w:t>
            </w:r>
            <w:r w:rsidR="00AB0B61">
              <w:rPr>
                <w:rFonts w:eastAsia="Times New Roman" w:cs="Times New Roman"/>
                <w:iCs/>
                <w:sz w:val="24"/>
                <w:szCs w:val="24"/>
                <w:lang w:eastAsia="uk-UA"/>
              </w:rPr>
              <w:t xml:space="preserve"> здійснюється закупівля</w:t>
            </w:r>
            <w:r w:rsidRPr="00AB0B61">
              <w:rPr>
                <w:rFonts w:eastAsia="Times New Roman" w:cs="Times New Roman"/>
                <w:iCs/>
                <w:sz w:val="24"/>
                <w:szCs w:val="24"/>
                <w:lang w:eastAsia="uk-UA"/>
              </w:rPr>
              <w:t xml:space="preserve"> у межах проєкту «Підтримка швидкого економічного відновлення українських муніципалітетів» (SRER), що реалізується Програмою розвитку ООН (UNDP) в Україні за підтримки проєкту міжнародної співпраці ReACT4UA </w:t>
            </w:r>
            <w:r w:rsidRPr="00AB0B61">
              <w:rPr>
                <w:rFonts w:eastAsia="Times New Roman" w:cs="Times New Roman"/>
                <w:iCs/>
                <w:sz w:val="24"/>
                <w:szCs w:val="24"/>
                <w:lang w:eastAsia="uk-UA"/>
              </w:rPr>
              <w:lastRenderedPageBreak/>
              <w:t>(«Застосування та імплементація Угоди про асоціацію між ЄС та Україною у сфері торгівлі»), який фінансується урядом Німеччини і реалізується німецькою федеральною компанією Deutsche Gesellschaft für Internationale Zusammenarbeit (GIZ) GmbH. спільно з Програмою розвитку ООН (UNDP) в Україні.</w:t>
            </w:r>
            <w:r w:rsidR="00475450">
              <w:rPr>
                <w:rFonts w:eastAsia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14:paraId="20784C9D" w14:textId="77777777" w:rsidR="00B16CE7" w:rsidRDefault="00516F65" w:rsidP="00B16C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Розмір бюджетного призначення</w:t>
            </w:r>
            <w:r w:rsidR="00F30D8D" w:rsidRPr="00AB0B61">
              <w:rPr>
                <w:sz w:val="24"/>
                <w:szCs w:val="24"/>
              </w:rPr>
              <w:t xml:space="preserve"> </w:t>
            </w:r>
            <w:r w:rsidR="00B16CE7">
              <w:rPr>
                <w:sz w:val="24"/>
                <w:szCs w:val="24"/>
              </w:rPr>
              <w:t xml:space="preserve">передбачено: </w:t>
            </w:r>
          </w:p>
          <w:p w14:paraId="39C594C1" w14:textId="75C18DAC" w:rsidR="00B16CE7" w:rsidRDefault="00B16CE7" w:rsidP="00B16CE7">
            <w:pPr>
              <w:pStyle w:val="a3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B16CE7">
              <w:rPr>
                <w:sz w:val="24"/>
                <w:szCs w:val="24"/>
              </w:rPr>
              <w:t>КПКВК</w:t>
            </w:r>
            <w:r>
              <w:rPr>
                <w:sz w:val="24"/>
                <w:szCs w:val="24"/>
              </w:rPr>
              <w:t xml:space="preserve"> 0117700</w:t>
            </w:r>
            <w:r w:rsidRPr="00B16CE7">
              <w:rPr>
                <w:sz w:val="24"/>
                <w:szCs w:val="24"/>
              </w:rPr>
              <w:t xml:space="preserve"> «</w:t>
            </w:r>
            <w:r w:rsidRPr="00B16CE7">
              <w:rPr>
                <w:sz w:val="24"/>
                <w:szCs w:val="24"/>
              </w:rPr>
              <w:t>Реалізація програм допомоги і грантів Європейського Союзу, урядів іноземних держав, міжнародних організацій, донорських установ</w:t>
            </w:r>
            <w:r w:rsidRPr="00B16CE7">
              <w:rPr>
                <w:sz w:val="24"/>
                <w:szCs w:val="24"/>
              </w:rPr>
              <w:t>»;</w:t>
            </w:r>
          </w:p>
          <w:p w14:paraId="41989844" w14:textId="56003416" w:rsidR="00B16CE7" w:rsidRDefault="00B16CE7" w:rsidP="00B16CE7">
            <w:pPr>
              <w:pStyle w:val="a3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КПКВК 0117610 «Сприяння розвитку малого та середнього підприємництва</w:t>
            </w:r>
            <w:r w:rsidR="00DB6DD7">
              <w:rPr>
                <w:sz w:val="24"/>
                <w:szCs w:val="24"/>
              </w:rPr>
              <w:t>»</w:t>
            </w:r>
          </w:p>
          <w:p w14:paraId="60DB093B" w14:textId="21D3833C" w:rsidR="00DB6DD7" w:rsidRPr="00DB6DD7" w:rsidRDefault="00DB6DD7" w:rsidP="00DB6D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2282</w:t>
            </w:r>
          </w:p>
          <w:p w14:paraId="4409A2C9" w14:textId="0522EA9E" w:rsidR="00516F65" w:rsidRPr="00AB0B61" w:rsidRDefault="001539E4" w:rsidP="00DB6D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А також</w:t>
            </w:r>
            <w:r w:rsidR="005B714B" w:rsidRPr="00AB0B61">
              <w:rPr>
                <w:sz w:val="24"/>
                <w:szCs w:val="24"/>
              </w:rPr>
              <w:t>,</w:t>
            </w:r>
            <w:r w:rsidR="00970646" w:rsidRPr="00AB0B61">
              <w:rPr>
                <w:sz w:val="24"/>
                <w:szCs w:val="24"/>
              </w:rPr>
              <w:t xml:space="preserve"> здійснення закупівл</w:t>
            </w:r>
            <w:r w:rsidR="00475450">
              <w:rPr>
                <w:sz w:val="24"/>
                <w:szCs w:val="24"/>
              </w:rPr>
              <w:t>і</w:t>
            </w:r>
            <w:r w:rsidR="00970646" w:rsidRPr="00AB0B61">
              <w:rPr>
                <w:sz w:val="24"/>
                <w:szCs w:val="24"/>
              </w:rPr>
              <w:t xml:space="preserve"> на виконання вимог</w:t>
            </w:r>
            <w:r w:rsidRPr="00AB0B61">
              <w:rPr>
                <w:sz w:val="24"/>
                <w:szCs w:val="24"/>
              </w:rPr>
              <w:t xml:space="preserve"> Постанов</w:t>
            </w:r>
            <w:r w:rsidR="00B30159" w:rsidRPr="00AB0B61">
              <w:rPr>
                <w:sz w:val="24"/>
                <w:szCs w:val="24"/>
              </w:rPr>
              <w:t>и</w:t>
            </w:r>
            <w:r w:rsidRPr="00AB0B61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AB0B61">
              <w:rPr>
                <w:sz w:val="24"/>
                <w:szCs w:val="24"/>
              </w:rPr>
              <w:t xml:space="preserve"> (зі змінами та доповненнями)</w:t>
            </w:r>
            <w:r w:rsidRPr="00AB0B61">
              <w:rPr>
                <w:sz w:val="24"/>
                <w:szCs w:val="24"/>
              </w:rPr>
              <w:t xml:space="preserve">, з метою </w:t>
            </w:r>
            <w:r w:rsidR="00475450">
              <w:rPr>
                <w:sz w:val="24"/>
                <w:szCs w:val="24"/>
              </w:rPr>
              <w:t>реалізації проекту</w:t>
            </w:r>
            <w:r w:rsidRPr="00AB0B61">
              <w:rPr>
                <w:sz w:val="24"/>
                <w:szCs w:val="24"/>
              </w:rPr>
              <w:t>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2B1FEB3C" w:rsidR="00516F65" w:rsidRPr="009130AF" w:rsidRDefault="00B02F05" w:rsidP="006930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930EB">
              <w:rPr>
                <w:sz w:val="24"/>
                <w:szCs w:val="24"/>
              </w:rPr>
              <w:t> 479 320,00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6930EB">
              <w:rPr>
                <w:sz w:val="24"/>
                <w:szCs w:val="24"/>
              </w:rPr>
              <w:t>шістнадцять мільйонів чотириста сімдесят дев’ять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6930EB">
              <w:rPr>
                <w:sz w:val="24"/>
                <w:szCs w:val="24"/>
              </w:rPr>
              <w:t xml:space="preserve"> триста двадцять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29772D8E" w:rsidR="00516F65" w:rsidRPr="00CE2E3F" w:rsidRDefault="00907254" w:rsidP="00CE2E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907254">
              <w:rPr>
                <w:lang w:val="uk-UA"/>
              </w:rPr>
              <w:t xml:space="preserve">Визначення очікуваної вартості предмета закупівлі здійснювалося із врахуванням рекомендацій Примірної методики </w:t>
            </w:r>
            <w:r w:rsidRPr="00907254">
              <w:rPr>
                <w:bCs/>
                <w:shd w:val="clear" w:color="auto" w:fill="FFFFFF"/>
                <w:lang w:val="uk-UA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>
              <w:rPr>
                <w:bCs/>
                <w:shd w:val="clear" w:color="auto" w:fill="FFFFFF"/>
                <w:lang w:val="uk-UA"/>
              </w:rPr>
              <w:t xml:space="preserve">. </w:t>
            </w:r>
            <w:r w:rsidR="002D3236" w:rsidRPr="00AB0B61">
              <w:rPr>
                <w:lang w:val="uk-UA"/>
              </w:rPr>
              <w:t xml:space="preserve">Для визначення очікуваної вартості предмета закупівлі, а саме послуг з проведення поточного ремонту приміщення під облаштування відкритого простору Open Space, було проведено аналіз ринку та використано розрахунок очікуваної вартості послуг методом порівняння ринкових цін. Для цього </w:t>
            </w:r>
            <w:bookmarkStart w:id="1" w:name="n54"/>
            <w:bookmarkEnd w:id="1"/>
            <w:r w:rsidR="002D3236" w:rsidRPr="00AB0B61">
              <w:rPr>
                <w:lang w:val="uk-UA"/>
              </w:rPr>
              <w:t xml:space="preserve">було направлено три письмових </w:t>
            </w:r>
            <w:r w:rsidR="00E80CF8">
              <w:rPr>
                <w:lang w:val="uk-UA"/>
              </w:rPr>
              <w:t>повідомлення щодо отримання</w:t>
            </w:r>
            <w:r w:rsidR="002D3236" w:rsidRPr="00AB0B61">
              <w:rPr>
                <w:lang w:val="uk-UA"/>
              </w:rPr>
              <w:t xml:space="preserve"> цінових пропозиц</w:t>
            </w:r>
            <w:r>
              <w:rPr>
                <w:lang w:val="uk-UA"/>
              </w:rPr>
              <w:t>ій</w:t>
            </w:r>
            <w:r w:rsidR="002D3236" w:rsidRPr="00AB0B61">
              <w:rPr>
                <w:lang w:val="uk-UA"/>
              </w:rPr>
              <w:t xml:space="preserve"> потенційним надавачам послуг з поточного ремонту.</w:t>
            </w:r>
            <w:bookmarkStart w:id="2" w:name="n55"/>
            <w:bookmarkEnd w:id="2"/>
            <w:r w:rsidR="0044680D">
              <w:rPr>
                <w:lang w:val="uk-UA"/>
              </w:rPr>
              <w:t xml:space="preserve"> </w:t>
            </w:r>
            <w:r w:rsidR="002D3236" w:rsidRPr="00AB0B61">
              <w:rPr>
                <w:lang w:val="uk-UA"/>
              </w:rPr>
              <w:t>У запитах</w:t>
            </w:r>
            <w:r w:rsidR="0044680D">
              <w:rPr>
                <w:lang w:val="uk-UA"/>
              </w:rPr>
              <w:t>-повідомленнях</w:t>
            </w:r>
            <w:r w:rsidR="002D3236" w:rsidRPr="00AB0B61">
              <w:rPr>
                <w:lang w:val="uk-UA"/>
              </w:rPr>
              <w:t xml:space="preserve"> було зазначено інформацію щодо площі приміщення та можливість огляду об’єкту для розрахунку орієнтовної вартості квадратного метра приміщення «під ключ» із врахуванням того, що поточний ремонт буде проведено на основі дизайн-проекту.</w:t>
            </w:r>
            <w:r w:rsidR="0044680D">
              <w:rPr>
                <w:lang w:val="uk-UA"/>
              </w:rPr>
              <w:t xml:space="preserve"> </w:t>
            </w:r>
            <w:r w:rsidR="002D3236" w:rsidRPr="00AB0B61">
              <w:rPr>
                <w:lang w:val="uk-UA"/>
              </w:rPr>
              <w:t>За результатами отриманих цінових пропозицій</w:t>
            </w:r>
            <w:r w:rsidR="0044680D">
              <w:rPr>
                <w:lang w:val="uk-UA"/>
              </w:rPr>
              <w:t>,</w:t>
            </w:r>
            <w:r w:rsidR="002D3236" w:rsidRPr="00AB0B61">
              <w:rPr>
                <w:lang w:val="uk-UA"/>
              </w:rPr>
              <w:t xml:space="preserve"> обрано найнижчу ціну із запропонованих.</w:t>
            </w:r>
            <w:r w:rsidR="00135DD7" w:rsidRPr="009130AF"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4C38C45B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  <w:bookmarkStart w:id="3" w:name="_GoBack"/>
      <w:bookmarkEnd w:id="3"/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8509" w14:textId="77777777" w:rsidR="009E5EEF" w:rsidRDefault="009E5EEF" w:rsidP="003F52D9">
      <w:pPr>
        <w:spacing w:after="0" w:line="240" w:lineRule="auto"/>
      </w:pPr>
      <w:r>
        <w:separator/>
      </w:r>
    </w:p>
  </w:endnote>
  <w:endnote w:type="continuationSeparator" w:id="0">
    <w:p w14:paraId="2BBAF2BB" w14:textId="77777777" w:rsidR="009E5EEF" w:rsidRDefault="009E5EEF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AB4F" w14:textId="77777777" w:rsidR="009E5EEF" w:rsidRDefault="009E5EEF" w:rsidP="003F52D9">
      <w:pPr>
        <w:spacing w:after="0" w:line="240" w:lineRule="auto"/>
      </w:pPr>
      <w:r>
        <w:separator/>
      </w:r>
    </w:p>
  </w:footnote>
  <w:footnote w:type="continuationSeparator" w:id="0">
    <w:p w14:paraId="59275585" w14:textId="77777777" w:rsidR="009E5EEF" w:rsidRDefault="009E5EEF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50D08"/>
    <w:multiLevelType w:val="hybridMultilevel"/>
    <w:tmpl w:val="8A72DC6C"/>
    <w:lvl w:ilvl="0" w:tplc="88E64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1180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87A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3236"/>
    <w:rsid w:val="002D5D2D"/>
    <w:rsid w:val="002E7323"/>
    <w:rsid w:val="002F1276"/>
    <w:rsid w:val="002F2393"/>
    <w:rsid w:val="002F43B9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07BF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680D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5450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002C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0EB"/>
    <w:rsid w:val="00693CAC"/>
    <w:rsid w:val="006942FA"/>
    <w:rsid w:val="006966A8"/>
    <w:rsid w:val="00697CFC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1ECB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07254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85D40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E5EEF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0B61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2F05"/>
    <w:rsid w:val="00B046D2"/>
    <w:rsid w:val="00B05BF7"/>
    <w:rsid w:val="00B06DC5"/>
    <w:rsid w:val="00B10F13"/>
    <w:rsid w:val="00B1131A"/>
    <w:rsid w:val="00B12457"/>
    <w:rsid w:val="00B12BD6"/>
    <w:rsid w:val="00B16CE7"/>
    <w:rsid w:val="00B170E3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4DCB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6F28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2E3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B6DD7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2100B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3683"/>
    <w:rsid w:val="00E5576F"/>
    <w:rsid w:val="00E567BB"/>
    <w:rsid w:val="00E64889"/>
    <w:rsid w:val="00E764CE"/>
    <w:rsid w:val="00E77831"/>
    <w:rsid w:val="00E80CF8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26DB2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034B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customStyle="1" w:styleId="rvps2">
    <w:name w:val="rvps2"/>
    <w:basedOn w:val="a"/>
    <w:rsid w:val="00FD03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3B1A-6E2C-41E4-8498-F9FC7FBB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3714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78</cp:revision>
  <cp:lastPrinted>2023-05-30T12:51:00Z</cp:lastPrinted>
  <dcterms:created xsi:type="dcterms:W3CDTF">2024-04-30T08:20:00Z</dcterms:created>
  <dcterms:modified xsi:type="dcterms:W3CDTF">2024-05-17T06:59:00Z</dcterms:modified>
</cp:coreProperties>
</file>