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5D5AF30" w14:textId="42BD87AB" w:rsidR="00CE28F9" w:rsidRDefault="00A3085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A30852">
              <w:rPr>
                <w:rFonts w:cs="Times New Roman"/>
                <w:bCs/>
                <w:sz w:val="24"/>
                <w:szCs w:val="24"/>
                <w:lang w:eastAsia="uk-UA"/>
              </w:rPr>
              <w:t>Бензин А-95</w:t>
            </w: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6427F5D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A30852" w:rsidRPr="00A3085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09130000-9 – Нафта та дистиляти, 09132000-3 - Бензин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C84CD11" w:rsidR="00516F65" w:rsidRPr="009130AF" w:rsidRDefault="00A3085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A3085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UA-2024-08-02-008257-a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F8BA333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25040B48" w14:textId="77777777" w:rsidR="00EF41E2" w:rsidRDefault="00EF41E2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4B1217FC" w14:textId="2D70F846" w:rsidR="002257CC" w:rsidRPr="009130AF" w:rsidRDefault="002257CC" w:rsidP="002257C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1784DF4" w14:textId="77777777" w:rsidR="002A51FF" w:rsidRDefault="002257CC" w:rsidP="002257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Закупівля</w:t>
            </w:r>
            <w:r w:rsidRPr="002257CC">
              <w:rPr>
                <w:sz w:val="24"/>
                <w:szCs w:val="24"/>
              </w:rPr>
              <w:t xml:space="preserve"> бензинуА-9</w:t>
            </w:r>
            <w:r>
              <w:rPr>
                <w:sz w:val="24"/>
                <w:szCs w:val="24"/>
              </w:rPr>
              <w:t>5</w:t>
            </w:r>
            <w:r w:rsidRPr="002257CC">
              <w:rPr>
                <w:sz w:val="24"/>
                <w:szCs w:val="24"/>
              </w:rPr>
              <w:t xml:space="preserve"> </w:t>
            </w:r>
            <w:r w:rsidR="009B26E4">
              <w:rPr>
                <w:sz w:val="24"/>
                <w:szCs w:val="24"/>
              </w:rPr>
              <w:t>з</w:t>
            </w:r>
            <w:r w:rsidRPr="002257CC">
              <w:rPr>
                <w:sz w:val="24"/>
                <w:szCs w:val="24"/>
              </w:rPr>
              <w:t>дійснюється для забезпечення безперебійної роботи транспортних засобів Тернопільської міської ради під час виконання функцій та завдань, покладених на орган місцевого самоврядування.</w:t>
            </w:r>
          </w:p>
          <w:p w14:paraId="2FBB6557" w14:textId="77777777" w:rsidR="009B26E4" w:rsidRDefault="009B26E4" w:rsidP="009B26E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Учасник повинен дотримуватись норм чинного законодавства України, щодо підвищення якості й безпечності нафтопродуктів, які реалізуються через мережу АЗС: забороняється продаж нафтопродуктів, які не відповідають обов’язковим вимогам щодо їх якості та безпечності. </w:t>
            </w:r>
          </w:p>
          <w:p w14:paraId="432B8D67" w14:textId="77777777" w:rsidR="009B26E4" w:rsidRDefault="009B26E4" w:rsidP="009B26E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Бензин А-95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повинен відповідати вимогам ДСТУ 7687:2015 або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(зі змінами). </w:t>
            </w:r>
          </w:p>
          <w:p w14:paraId="59402524" w14:textId="6878FC53" w:rsidR="009B26E4" w:rsidRPr="00BC1ED0" w:rsidRDefault="009B26E4" w:rsidP="00BC1ED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 повинен здійснювати продаж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бензину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через стаціонарну мережу автозаправних станцій (АЗС), що призначені для заправки транспортних засобів пальним, відповідно до Постанови Кабінету Міністрів України «Про затвердження Правил роздрібної торгівлі нафтопродуктами» від 20.12.1997 р. № 1442 (зі змінами та доповненнями).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6DC6A88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6744C0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за КЕКВ </w:t>
            </w:r>
            <w:r w:rsidR="0093228A">
              <w:rPr>
                <w:sz w:val="24"/>
                <w:szCs w:val="24"/>
              </w:rPr>
              <w:t>22</w:t>
            </w:r>
            <w:r w:rsidR="008C77F2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закупівель в період правового режиму воєнного стану на виконання вимог Постанови Кабінету Міністрів </w:t>
            </w:r>
            <w:r w:rsidRPr="00485E79">
              <w:rPr>
                <w:sz w:val="24"/>
                <w:szCs w:val="24"/>
              </w:rPr>
              <w:lastRenderedPageBreak/>
              <w:t>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FF2072D" w:rsidR="00516F65" w:rsidRPr="009130AF" w:rsidRDefault="008C77F2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04136">
              <w:rPr>
                <w:sz w:val="24"/>
                <w:szCs w:val="24"/>
              </w:rPr>
              <w:t xml:space="preserve">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Дев’ятсот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BC1ED0" w:rsidRPr="00BC1ED0">
              <w:rPr>
                <w:sz w:val="24"/>
                <w:szCs w:val="24"/>
                <w:lang w:val="ru-RU"/>
              </w:rPr>
              <w:t xml:space="preserve"> </w:t>
            </w:r>
            <w:r w:rsidR="00670A4F">
              <w:rPr>
                <w:sz w:val="24"/>
                <w:szCs w:val="24"/>
                <w:lang w:val="ru-RU"/>
              </w:rPr>
              <w:t xml:space="preserve">з </w:t>
            </w:r>
            <w:r w:rsidR="00BC1ED0">
              <w:rPr>
                <w:sz w:val="24"/>
                <w:szCs w:val="24"/>
              </w:rPr>
              <w:t>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2628C9B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</w:t>
            </w:r>
            <w:r w:rsidR="00DA5309">
              <w:rPr>
                <w:sz w:val="24"/>
                <w:szCs w:val="24"/>
              </w:rPr>
              <w:t xml:space="preserve">, </w:t>
            </w:r>
            <w:r w:rsidR="00DA5309" w:rsidRPr="00BC1ED0">
              <w:rPr>
                <w:color w:val="000000"/>
                <w:sz w:val="24"/>
                <w:szCs w:val="24"/>
                <w:shd w:val="clear" w:color="auto" w:fill="FFFFFF"/>
              </w:rPr>
              <w:t xml:space="preserve">зокрема: </w:t>
            </w:r>
            <w:hyperlink r:id="rId8" w:history="1"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https://index.minfin.com.ua/ua/</w:t>
              </w:r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markets/fuel/</w:t>
              </w:r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reg/ternopolskaya</w:t>
              </w:r>
            </w:hyperlink>
            <w:r w:rsidR="00BC1ED0" w:rsidRPr="00BC1ED0">
              <w:rPr>
                <w:sz w:val="24"/>
                <w:szCs w:val="24"/>
              </w:rPr>
              <w:t xml:space="preserve"> </w:t>
            </w:r>
            <w:r w:rsidRPr="00BC1ED0">
              <w:rPr>
                <w:sz w:val="24"/>
                <w:szCs w:val="24"/>
              </w:rPr>
              <w:t>тощо</w:t>
            </w:r>
            <w:r w:rsidR="00BE7953" w:rsidRPr="00BC1ED0">
              <w:rPr>
                <w:sz w:val="24"/>
                <w:szCs w:val="24"/>
              </w:rPr>
              <w:t>.</w:t>
            </w:r>
            <w:r w:rsidR="00135DD7" w:rsidRPr="00BC1ED0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0E3F" w14:textId="77777777" w:rsidR="00693FE5" w:rsidRDefault="00693FE5" w:rsidP="003F52D9">
      <w:pPr>
        <w:spacing w:after="0" w:line="240" w:lineRule="auto"/>
      </w:pPr>
      <w:r>
        <w:separator/>
      </w:r>
    </w:p>
  </w:endnote>
  <w:endnote w:type="continuationSeparator" w:id="0">
    <w:p w14:paraId="5E521B47" w14:textId="77777777" w:rsidR="00693FE5" w:rsidRDefault="00693FE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FC712" w14:textId="77777777" w:rsidR="00693FE5" w:rsidRDefault="00693FE5" w:rsidP="003F52D9">
      <w:pPr>
        <w:spacing w:after="0" w:line="240" w:lineRule="auto"/>
      </w:pPr>
      <w:r>
        <w:separator/>
      </w:r>
    </w:p>
  </w:footnote>
  <w:footnote w:type="continuationSeparator" w:id="0">
    <w:p w14:paraId="022539AE" w14:textId="77777777" w:rsidR="00693FE5" w:rsidRDefault="00693FE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57CC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768D9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0A4F"/>
    <w:rsid w:val="006744C0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3FE5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1B1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77F2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145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E4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0852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1ED0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309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41E2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styleId="ac">
    <w:name w:val="Hyperlink"/>
    <w:basedOn w:val="a0"/>
    <w:uiPriority w:val="99"/>
    <w:unhideWhenUsed/>
    <w:rsid w:val="00DA530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530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%20markets/fuel/reg/ternopolsk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90</cp:revision>
  <cp:lastPrinted>2024-08-09T06:25:00Z</cp:lastPrinted>
  <dcterms:created xsi:type="dcterms:W3CDTF">2024-04-30T08:20:00Z</dcterms:created>
  <dcterms:modified xsi:type="dcterms:W3CDTF">2024-08-09T06:34:00Z</dcterms:modified>
</cp:coreProperties>
</file>