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3301"/>
        <w:tblW w:w="9915" w:type="dxa"/>
        <w:tblLook w:val="04A0"/>
      </w:tblPr>
      <w:tblGrid>
        <w:gridCol w:w="2914"/>
        <w:gridCol w:w="7001"/>
      </w:tblGrid>
      <w:tr w:rsidR="00F22C14" w:rsidTr="00486D82">
        <w:trPr>
          <w:trHeight w:val="541"/>
        </w:trPr>
        <w:tc>
          <w:tcPr>
            <w:tcW w:w="2914" w:type="dxa"/>
          </w:tcPr>
          <w:p w:rsidR="00F22C14" w:rsidRPr="00F22C14" w:rsidRDefault="00F22C14" w:rsidP="003E1753">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Ідентифікатор закупівлі</w:t>
            </w:r>
          </w:p>
        </w:tc>
        <w:tc>
          <w:tcPr>
            <w:tcW w:w="7001" w:type="dxa"/>
          </w:tcPr>
          <w:p w:rsidR="00F22C14" w:rsidRPr="00AC10B7" w:rsidRDefault="00AC10B7" w:rsidP="003E1753">
            <w:pPr>
              <w:jc w:val="both"/>
              <w:rPr>
                <w:rFonts w:ascii="Times New Roman" w:hAnsi="Times New Roman" w:cs="Times New Roman"/>
                <w:sz w:val="24"/>
                <w:szCs w:val="24"/>
                <w:lang w:val="uk-UA"/>
              </w:rPr>
            </w:pPr>
            <w:r>
              <w:rPr>
                <w:rFonts w:ascii="Arial" w:hAnsi="Arial" w:cs="Arial"/>
                <w:color w:val="555555"/>
                <w:sz w:val="20"/>
                <w:szCs w:val="20"/>
                <w:shd w:val="clear" w:color="auto" w:fill="F3F7FA"/>
              </w:rPr>
              <w:t> </w:t>
            </w:r>
            <w:r w:rsidRPr="00AC10B7">
              <w:rPr>
                <w:rFonts w:ascii="Times New Roman" w:hAnsi="Times New Roman" w:cs="Times New Roman"/>
                <w:b/>
                <w:bCs/>
                <w:color w:val="555555"/>
                <w:sz w:val="24"/>
                <w:szCs w:val="24"/>
                <w:shd w:val="clear" w:color="auto" w:fill="F3F7FA"/>
              </w:rPr>
              <w:t>UA-2024-05-28-003804-a</w:t>
            </w:r>
          </w:p>
        </w:tc>
      </w:tr>
      <w:tr w:rsidR="006754E1" w:rsidRPr="00486D82" w:rsidTr="00486D82">
        <w:trPr>
          <w:trHeight w:val="2087"/>
        </w:trPr>
        <w:tc>
          <w:tcPr>
            <w:tcW w:w="2914" w:type="dxa"/>
          </w:tcPr>
          <w:p w:rsidR="006754E1" w:rsidRPr="00F22C14" w:rsidRDefault="006754E1" w:rsidP="003E1753">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Назва предмета закупівлі</w:t>
            </w:r>
          </w:p>
        </w:tc>
        <w:tc>
          <w:tcPr>
            <w:tcW w:w="7001" w:type="dxa"/>
          </w:tcPr>
          <w:p w:rsidR="006754E1" w:rsidRPr="00C25BEE" w:rsidRDefault="006754E1" w:rsidP="00AC10B7">
            <w:pPr>
              <w:pStyle w:val="1"/>
              <w:shd w:val="clear" w:color="auto" w:fill="F3F7FA"/>
              <w:spacing w:before="0" w:beforeAutospacing="0" w:after="225" w:afterAutospacing="0" w:line="375" w:lineRule="atLeast"/>
              <w:outlineLvl w:val="0"/>
              <w:rPr>
                <w:b w:val="0"/>
                <w:color w:val="333333"/>
                <w:sz w:val="22"/>
                <w:szCs w:val="22"/>
                <w:lang w:val="uk-UA"/>
              </w:rPr>
            </w:pPr>
            <w:r w:rsidRPr="00C25BEE">
              <w:rPr>
                <w:b w:val="0"/>
                <w:sz w:val="24"/>
                <w:szCs w:val="24"/>
                <w:lang w:val="uk-UA"/>
              </w:rPr>
              <w:t xml:space="preserve">     </w:t>
            </w:r>
            <w:r w:rsidR="00AC10B7" w:rsidRPr="00AC10B7">
              <w:rPr>
                <w:b w:val="0"/>
                <w:color w:val="333333"/>
                <w:sz w:val="22"/>
                <w:szCs w:val="22"/>
                <w:lang w:val="uk-UA"/>
              </w:rPr>
              <w:t>«М</w:t>
            </w:r>
            <w:r w:rsidR="00C25BEE" w:rsidRPr="00AC10B7">
              <w:rPr>
                <w:b w:val="0"/>
                <w:color w:val="333333"/>
                <w:sz w:val="22"/>
                <w:szCs w:val="22"/>
                <w:lang w:val="uk-UA"/>
              </w:rPr>
              <w:t>ультимедійн</w:t>
            </w:r>
            <w:r w:rsidR="00AC10B7" w:rsidRPr="00AC10B7">
              <w:rPr>
                <w:b w:val="0"/>
                <w:color w:val="333333"/>
                <w:sz w:val="22"/>
                <w:szCs w:val="22"/>
                <w:lang w:val="uk-UA"/>
              </w:rPr>
              <w:t>е</w:t>
            </w:r>
            <w:r w:rsidR="00C25BEE" w:rsidRPr="00AC10B7">
              <w:rPr>
                <w:b w:val="0"/>
                <w:color w:val="333333"/>
                <w:sz w:val="22"/>
                <w:szCs w:val="22"/>
                <w:lang w:val="uk-UA"/>
              </w:rPr>
              <w:t xml:space="preserve"> обладнання ( Інтерактивна дошка, мультимедійний проєктор з короткофокусним об’єктивом та базове програмне забезпечення для інтерактивної дошки та мультимедійного проєктора»  </w:t>
            </w:r>
            <w:r w:rsidR="00C25BEE" w:rsidRPr="00AC10B7">
              <w:rPr>
                <w:b w:val="0"/>
                <w:bCs w:val="0"/>
                <w:sz w:val="22"/>
                <w:szCs w:val="22"/>
                <w:lang w:val="uk-UA"/>
              </w:rPr>
              <w:t xml:space="preserve"> </w:t>
            </w:r>
            <w:r w:rsidRPr="00AC10B7">
              <w:rPr>
                <w:b w:val="0"/>
                <w:sz w:val="22"/>
                <w:szCs w:val="22"/>
                <w:lang w:val="uk-UA"/>
              </w:rPr>
              <w:t>(</w:t>
            </w:r>
            <w:r w:rsidR="00C25BEE" w:rsidRPr="00AC10B7">
              <w:rPr>
                <w:b w:val="0"/>
                <w:sz w:val="22"/>
                <w:szCs w:val="22"/>
                <w:lang w:val="uk-UA"/>
              </w:rPr>
              <w:t xml:space="preserve">Код </w:t>
            </w:r>
            <w:r w:rsidRPr="00AC10B7">
              <w:rPr>
                <w:b w:val="0"/>
                <w:sz w:val="22"/>
                <w:szCs w:val="22"/>
                <w:lang w:val="uk-UA"/>
              </w:rPr>
              <w:t xml:space="preserve">CPV ДК </w:t>
            </w:r>
            <w:r w:rsidR="00C25BEE" w:rsidRPr="00AC10B7">
              <w:rPr>
                <w:b w:val="0"/>
                <w:color w:val="333333"/>
                <w:sz w:val="22"/>
                <w:szCs w:val="22"/>
                <w:lang w:val="uk-UA" w:eastAsia="uk-UA"/>
              </w:rPr>
              <w:t>021:2015 — 32320000-2 Телевізійне й аудіовізуальне обладнання</w:t>
            </w:r>
            <w:r w:rsidRPr="00AC10B7">
              <w:rPr>
                <w:b w:val="0"/>
                <w:sz w:val="22"/>
                <w:szCs w:val="22"/>
                <w:lang w:val="uk-UA"/>
              </w:rPr>
              <w:t>)</w:t>
            </w:r>
            <w:r w:rsidRPr="00C25BEE">
              <w:rPr>
                <w:b w:val="0"/>
                <w:sz w:val="24"/>
                <w:szCs w:val="24"/>
                <w:lang w:val="uk-UA"/>
              </w:rPr>
              <w:t xml:space="preserve"> </w:t>
            </w:r>
          </w:p>
        </w:tc>
      </w:tr>
      <w:tr w:rsidR="006754E1" w:rsidRPr="00486D82" w:rsidTr="00486D82">
        <w:trPr>
          <w:trHeight w:val="2763"/>
        </w:trPr>
        <w:tc>
          <w:tcPr>
            <w:tcW w:w="2914" w:type="dxa"/>
          </w:tcPr>
          <w:p w:rsidR="006754E1" w:rsidRPr="00F22C14" w:rsidRDefault="006754E1" w:rsidP="003E1753">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технічних та якісних характеристик предмета закупівлі</w:t>
            </w:r>
          </w:p>
        </w:tc>
        <w:tc>
          <w:tcPr>
            <w:tcW w:w="7001" w:type="dxa"/>
          </w:tcPr>
          <w:p w:rsidR="006754E1" w:rsidRPr="00E14D1C" w:rsidRDefault="006754E1" w:rsidP="003E1753">
            <w:pPr>
              <w:pStyle w:val="Default"/>
              <w:jc w:val="both"/>
            </w:pPr>
            <w:r>
              <w:t xml:space="preserve">      </w:t>
            </w:r>
            <w:r w:rsidR="00D547B0" w:rsidRPr="00E14D1C">
              <w:t>Технічні та якісні характеристики предмета закупівлі визначені відповідно</w:t>
            </w:r>
            <w:r w:rsidRPr="00E14D1C">
              <w:t xml:space="preserve"> до</w:t>
            </w:r>
            <w:r w:rsidR="00D547B0" w:rsidRPr="00E14D1C">
              <w:t xml:space="preserve"> пп.1 Таблиці 2 п.6 Типового переліку </w:t>
            </w:r>
            <w:r w:rsidR="00D547B0" w:rsidRPr="00E14D1C">
              <w:rPr>
                <w:bCs/>
                <w:color w:val="333333"/>
                <w:shd w:val="clear" w:color="auto" w:fill="FFFFFF"/>
              </w:rPr>
              <w:t>засобів навчання та обладнання для навчальних кабінетів і STEM-лабораторій</w:t>
            </w:r>
            <w:r w:rsidRPr="00E14D1C">
              <w:t xml:space="preserve">  </w:t>
            </w:r>
            <w:r w:rsidR="00D547B0" w:rsidRPr="00E14D1C">
              <w:t xml:space="preserve"> затвердженого наказом Міністерства освіти і науки України №574 від 29.04.2020р. «Про</w:t>
            </w:r>
            <w:r w:rsidR="00D547B0" w:rsidRPr="00E14D1C">
              <w:rPr>
                <w:bCs/>
                <w:color w:val="333333"/>
                <w:shd w:val="clear" w:color="auto" w:fill="FFFFFF"/>
              </w:rPr>
              <w:t xml:space="preserve"> затвердження Типового переліку засобів навчання та обладнання для навчальних кабінетів і STEM-лабораторій</w:t>
            </w:r>
            <w:r w:rsidR="00D547B0" w:rsidRPr="00E14D1C">
              <w:t>»</w:t>
            </w:r>
            <w:r w:rsidRPr="00E14D1C">
              <w:t xml:space="preserve">    </w:t>
            </w:r>
            <w:r w:rsidR="00D547B0" w:rsidRPr="00E14D1C">
              <w:t>та на основі аналізу технічних і якісних характеристик мультимедійного обладнання, яке представлене на ринку України.</w:t>
            </w:r>
          </w:p>
        </w:tc>
      </w:tr>
      <w:tr w:rsidR="006754E1" w:rsidRPr="000A6664" w:rsidTr="00486D82">
        <w:trPr>
          <w:trHeight w:val="3875"/>
        </w:trPr>
        <w:tc>
          <w:tcPr>
            <w:tcW w:w="2914" w:type="dxa"/>
          </w:tcPr>
          <w:p w:rsidR="006754E1" w:rsidRPr="00F22C14" w:rsidRDefault="006754E1" w:rsidP="003E1753">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Розмір бюджетного призначення</w:t>
            </w:r>
          </w:p>
        </w:tc>
        <w:tc>
          <w:tcPr>
            <w:tcW w:w="7001" w:type="dxa"/>
          </w:tcPr>
          <w:p w:rsidR="001A52EC" w:rsidRDefault="006754E1" w:rsidP="003E175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3"/>
                <w:szCs w:val="23"/>
                <w:lang w:val="uk-UA"/>
              </w:rPr>
              <w:t xml:space="preserve">     </w:t>
            </w:r>
            <w:r w:rsidR="00F1460F">
              <w:rPr>
                <w:rFonts w:ascii="Times New Roman" w:hAnsi="Times New Roman" w:cs="Times New Roman"/>
                <w:color w:val="000000"/>
                <w:sz w:val="23"/>
                <w:szCs w:val="23"/>
                <w:lang w:val="uk-UA"/>
              </w:rPr>
              <w:t xml:space="preserve">Орієнтовний </w:t>
            </w:r>
            <w:r w:rsidR="00F1460F">
              <w:rPr>
                <w:rFonts w:ascii="Times New Roman" w:hAnsi="Times New Roman" w:cs="Times New Roman"/>
                <w:color w:val="000000"/>
                <w:sz w:val="24"/>
                <w:szCs w:val="24"/>
                <w:lang w:val="uk-UA"/>
              </w:rPr>
              <w:t xml:space="preserve"> обсяг фінансування </w:t>
            </w:r>
            <w:r w:rsidR="00A47E52">
              <w:rPr>
                <w:rFonts w:ascii="Times New Roman" w:hAnsi="Times New Roman" w:cs="Times New Roman"/>
                <w:color w:val="000000"/>
                <w:sz w:val="24"/>
                <w:szCs w:val="24"/>
                <w:lang w:val="uk-UA"/>
              </w:rPr>
              <w:t xml:space="preserve">предмета закупівлі </w:t>
            </w:r>
            <w:r w:rsidR="00F1460F">
              <w:rPr>
                <w:rFonts w:ascii="Times New Roman" w:hAnsi="Times New Roman" w:cs="Times New Roman"/>
                <w:color w:val="000000"/>
                <w:sz w:val="24"/>
                <w:szCs w:val="24"/>
                <w:lang w:val="uk-UA"/>
              </w:rPr>
              <w:t xml:space="preserve"> </w:t>
            </w:r>
            <w:r w:rsidR="00A47E52">
              <w:rPr>
                <w:rFonts w:ascii="Times New Roman" w:hAnsi="Times New Roman" w:cs="Times New Roman"/>
                <w:color w:val="000000"/>
                <w:sz w:val="24"/>
                <w:szCs w:val="24"/>
                <w:lang w:val="uk-UA"/>
              </w:rPr>
              <w:t xml:space="preserve">згідно </w:t>
            </w:r>
            <w:r w:rsidR="00C25BEE">
              <w:rPr>
                <w:rFonts w:ascii="Times New Roman" w:hAnsi="Times New Roman" w:cs="Times New Roman"/>
                <w:color w:val="000000"/>
                <w:sz w:val="24"/>
                <w:szCs w:val="24"/>
                <w:lang w:val="uk-UA"/>
              </w:rPr>
              <w:t xml:space="preserve"> програми</w:t>
            </w:r>
            <w:r w:rsidR="001A52EC">
              <w:rPr>
                <w:rFonts w:ascii="Times New Roman" w:hAnsi="Times New Roman" w:cs="Times New Roman"/>
                <w:color w:val="000000"/>
                <w:sz w:val="24"/>
                <w:szCs w:val="24"/>
                <w:lang w:val="uk-UA"/>
              </w:rPr>
              <w:t>:</w:t>
            </w:r>
          </w:p>
          <w:p w:rsidR="00A47E52" w:rsidRDefault="001A52EC" w:rsidP="003E175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00C25BE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спів</w:t>
            </w:r>
            <w:r w:rsidR="00C25BEE">
              <w:rPr>
                <w:rFonts w:ascii="Times New Roman" w:hAnsi="Times New Roman" w:cs="Times New Roman"/>
                <w:color w:val="000000"/>
                <w:sz w:val="24"/>
                <w:szCs w:val="24"/>
                <w:lang w:val="uk-UA"/>
              </w:rPr>
              <w:t xml:space="preserve">фінансування  заходів, що реалізуються </w:t>
            </w:r>
            <w:r>
              <w:rPr>
                <w:rFonts w:ascii="Times New Roman" w:hAnsi="Times New Roman" w:cs="Times New Roman"/>
                <w:color w:val="000000"/>
                <w:sz w:val="24"/>
                <w:szCs w:val="24"/>
                <w:lang w:val="uk-UA"/>
              </w:rPr>
              <w:t xml:space="preserve"> за рахунок освітньої субвенції з державного бюджету місцевим бюджетам (за спеціальним фондом державного бюджету) </w:t>
            </w:r>
            <w:r w:rsidR="00C25BEE">
              <w:rPr>
                <w:rFonts w:ascii="Times New Roman" w:hAnsi="Times New Roman" w:cs="Times New Roman"/>
                <w:color w:val="000000"/>
                <w:sz w:val="24"/>
                <w:szCs w:val="24"/>
                <w:lang w:val="uk-UA"/>
              </w:rPr>
              <w:t>рішення виконавчого комітету Тернопільської міської ради №638 від 17.04.2024р.</w:t>
            </w:r>
            <w:r w:rsidR="00A47E52">
              <w:rPr>
                <w:rFonts w:ascii="Times New Roman" w:hAnsi="Times New Roman" w:cs="Times New Roman"/>
                <w:sz w:val="24"/>
                <w:szCs w:val="24"/>
                <w:lang w:val="uk-UA"/>
              </w:rPr>
              <w:t xml:space="preserve"> становить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48 279</w:t>
            </w:r>
            <w:r w:rsidR="006754E1">
              <w:rPr>
                <w:rFonts w:ascii="Times New Roman" w:hAnsi="Times New Roman" w:cs="Times New Roman"/>
                <w:color w:val="000000"/>
                <w:sz w:val="24"/>
                <w:szCs w:val="24"/>
                <w:lang w:val="uk-UA"/>
              </w:rPr>
              <w:t xml:space="preserve">,00 грн. </w:t>
            </w:r>
          </w:p>
          <w:p w:rsidR="001A52EC" w:rsidRDefault="001A52EC" w:rsidP="003E175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реалізація заходів, за рахунок освітньої субвенції з державного бюджету місцевим бюджетам (за спеціальним фондом державного бюджету) рішення виконавчого комітету Тернопільської міської ради №638 від 17.04.2024р.</w:t>
            </w:r>
            <w:r>
              <w:rPr>
                <w:rFonts w:ascii="Times New Roman" w:hAnsi="Times New Roman" w:cs="Times New Roman"/>
                <w:sz w:val="24"/>
                <w:szCs w:val="24"/>
                <w:lang w:val="uk-UA"/>
              </w:rPr>
              <w:t xml:space="preserve"> становить – 112 638,00 грн</w:t>
            </w:r>
          </w:p>
          <w:p w:rsidR="006754E1" w:rsidRPr="00D54789" w:rsidRDefault="00A47E52" w:rsidP="003E1753">
            <w:pPr>
              <w:autoSpaceDE w:val="0"/>
              <w:autoSpaceDN w:val="0"/>
              <w:adjustRightInd w:val="0"/>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000000"/>
                <w:sz w:val="24"/>
                <w:szCs w:val="24"/>
                <w:lang w:val="uk-UA"/>
              </w:rPr>
              <w:t xml:space="preserve">     </w:t>
            </w:r>
            <w:r w:rsidR="006754E1">
              <w:rPr>
                <w:rFonts w:ascii="Times New Roman" w:hAnsi="Times New Roman" w:cs="Times New Roman"/>
                <w:color w:val="000000"/>
                <w:sz w:val="24"/>
                <w:szCs w:val="24"/>
                <w:lang w:val="uk-UA"/>
              </w:rPr>
              <w:t>Розмір бюджетного призначення на ІІ квартал 202</w:t>
            </w:r>
            <w:r w:rsidR="001A52EC">
              <w:rPr>
                <w:rFonts w:ascii="Times New Roman" w:hAnsi="Times New Roman" w:cs="Times New Roman"/>
                <w:color w:val="000000"/>
                <w:sz w:val="24"/>
                <w:szCs w:val="24"/>
                <w:lang w:val="uk-UA"/>
              </w:rPr>
              <w:t>4</w:t>
            </w:r>
            <w:r w:rsidR="006754E1">
              <w:rPr>
                <w:rFonts w:ascii="Times New Roman" w:hAnsi="Times New Roman" w:cs="Times New Roman"/>
                <w:color w:val="000000"/>
                <w:sz w:val="24"/>
                <w:szCs w:val="24"/>
                <w:lang w:val="uk-UA"/>
              </w:rPr>
              <w:t xml:space="preserve"> р</w:t>
            </w:r>
            <w:r w:rsidR="007066C9">
              <w:rPr>
                <w:rFonts w:ascii="Times New Roman" w:hAnsi="Times New Roman" w:cs="Times New Roman"/>
                <w:color w:val="000000"/>
                <w:sz w:val="24"/>
                <w:szCs w:val="24"/>
                <w:lang w:val="uk-UA"/>
              </w:rPr>
              <w:t>оку</w:t>
            </w:r>
            <w:r w:rsidR="001A52EC">
              <w:rPr>
                <w:rFonts w:ascii="Times New Roman" w:hAnsi="Times New Roman" w:cs="Times New Roman"/>
                <w:color w:val="000000"/>
                <w:sz w:val="24"/>
                <w:szCs w:val="24"/>
                <w:lang w:val="uk-UA"/>
              </w:rPr>
              <w:t xml:space="preserve">  становить – 160 917</w:t>
            </w:r>
            <w:r w:rsidR="006754E1">
              <w:rPr>
                <w:rFonts w:ascii="Times New Roman" w:hAnsi="Times New Roman" w:cs="Times New Roman"/>
                <w:color w:val="000000"/>
                <w:sz w:val="24"/>
                <w:szCs w:val="24"/>
                <w:lang w:val="uk-UA"/>
              </w:rPr>
              <w:t xml:space="preserve">,00 грн. </w:t>
            </w:r>
          </w:p>
        </w:tc>
      </w:tr>
      <w:tr w:rsidR="006754E1" w:rsidRPr="00486D82" w:rsidTr="00486D82">
        <w:trPr>
          <w:trHeight w:val="3319"/>
        </w:trPr>
        <w:tc>
          <w:tcPr>
            <w:tcW w:w="2914" w:type="dxa"/>
          </w:tcPr>
          <w:p w:rsidR="006754E1" w:rsidRDefault="007066C9" w:rsidP="003E1753">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о</w:t>
            </w:r>
            <w:r w:rsidR="006754E1">
              <w:rPr>
                <w:rFonts w:ascii="Times New Roman" w:hAnsi="Times New Roman" w:cs="Times New Roman"/>
                <w:b/>
                <w:bCs/>
                <w:sz w:val="24"/>
                <w:szCs w:val="24"/>
                <w:lang w:val="uk-UA"/>
              </w:rPr>
              <w:t>чікуван</w:t>
            </w:r>
            <w:r>
              <w:rPr>
                <w:rFonts w:ascii="Times New Roman" w:hAnsi="Times New Roman" w:cs="Times New Roman"/>
                <w:b/>
                <w:bCs/>
                <w:sz w:val="24"/>
                <w:szCs w:val="24"/>
                <w:lang w:val="uk-UA"/>
              </w:rPr>
              <w:t>ої</w:t>
            </w:r>
            <w:r w:rsidR="006754E1">
              <w:rPr>
                <w:rFonts w:ascii="Times New Roman" w:hAnsi="Times New Roman" w:cs="Times New Roman"/>
                <w:b/>
                <w:bCs/>
                <w:sz w:val="24"/>
                <w:szCs w:val="24"/>
                <w:lang w:val="uk-UA"/>
              </w:rPr>
              <w:t xml:space="preserve"> варт</w:t>
            </w:r>
            <w:r>
              <w:rPr>
                <w:rFonts w:ascii="Times New Roman" w:hAnsi="Times New Roman" w:cs="Times New Roman"/>
                <w:b/>
                <w:bCs/>
                <w:sz w:val="24"/>
                <w:szCs w:val="24"/>
                <w:lang w:val="uk-UA"/>
              </w:rPr>
              <w:t>ості</w:t>
            </w:r>
            <w:r w:rsidR="006754E1">
              <w:rPr>
                <w:rFonts w:ascii="Times New Roman" w:hAnsi="Times New Roman" w:cs="Times New Roman"/>
                <w:b/>
                <w:bCs/>
                <w:sz w:val="24"/>
                <w:szCs w:val="24"/>
                <w:lang w:val="uk-UA"/>
              </w:rPr>
              <w:t xml:space="preserve"> предмета закупівлі</w:t>
            </w:r>
          </w:p>
        </w:tc>
        <w:tc>
          <w:tcPr>
            <w:tcW w:w="7001" w:type="dxa"/>
          </w:tcPr>
          <w:p w:rsidR="00821EA8" w:rsidRPr="00E14D1C" w:rsidRDefault="006754E1" w:rsidP="003E1753">
            <w:pPr>
              <w:autoSpaceDE w:val="0"/>
              <w:autoSpaceDN w:val="0"/>
              <w:adjustRightInd w:val="0"/>
              <w:jc w:val="both"/>
              <w:rPr>
                <w:rFonts w:ascii="Times New Roman" w:hAnsi="Times New Roman" w:cs="Times New Roman"/>
                <w:color w:val="000000"/>
                <w:sz w:val="24"/>
                <w:szCs w:val="24"/>
                <w:lang w:val="uk-UA"/>
              </w:rPr>
            </w:pPr>
            <w:r w:rsidRPr="00E14D1C">
              <w:rPr>
                <w:sz w:val="24"/>
                <w:szCs w:val="24"/>
                <w:lang w:val="uk-UA"/>
              </w:rPr>
              <w:t xml:space="preserve">  </w:t>
            </w:r>
            <w:r w:rsidR="001F3612" w:rsidRPr="00E14D1C">
              <w:rPr>
                <w:rFonts w:ascii="Times New Roman" w:hAnsi="Times New Roman" w:cs="Times New Roman"/>
                <w:sz w:val="24"/>
                <w:szCs w:val="24"/>
                <w:lang w:val="uk-UA"/>
              </w:rPr>
              <w:t>Розрахунок очікуваної вартості предмета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rsidR="003E1753" w:rsidRPr="00486D82" w:rsidRDefault="003E1753" w:rsidP="003E1753">
      <w:pPr>
        <w:spacing w:after="0" w:line="240" w:lineRule="auto"/>
        <w:jc w:val="center"/>
        <w:rPr>
          <w:rFonts w:ascii="Times New Roman" w:hAnsi="Times New Roman" w:cs="Times New Roman"/>
          <w:b/>
          <w:lang w:val="uk-UA"/>
        </w:rPr>
      </w:pPr>
      <w:r w:rsidRPr="00486D82">
        <w:rPr>
          <w:rFonts w:ascii="Times New Roman" w:hAnsi="Times New Roman" w:cs="Times New Roman"/>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E62C4B" w:rsidRPr="00486D82" w:rsidRDefault="003E1753" w:rsidP="003E1753">
      <w:pPr>
        <w:jc w:val="center"/>
        <w:rPr>
          <w:lang w:val="uk-UA"/>
        </w:rPr>
      </w:pPr>
      <w:r w:rsidRPr="00486D82">
        <w:rPr>
          <w:rFonts w:ascii="Times New Roman" w:hAnsi="Times New Roman" w:cs="Times New Roman"/>
          <w:lang w:val="uk-UA"/>
        </w:rPr>
        <w:t>(відповідно до пункту 4</w:t>
      </w:r>
      <w:r w:rsidRPr="00486D82">
        <w:rPr>
          <w:rFonts w:ascii="Times New Roman" w:hAnsi="Times New Roman" w:cs="Times New Roman"/>
          <w:vertAlign w:val="superscript"/>
          <w:lang w:val="uk-UA"/>
        </w:rPr>
        <w:t xml:space="preserve">1 </w:t>
      </w:r>
      <w:r w:rsidRPr="00486D82">
        <w:rPr>
          <w:rFonts w:ascii="Times New Roman" w:hAnsi="Times New Roman" w:cs="Times New Roman"/>
          <w:lang w:val="uk-UA"/>
        </w:rPr>
        <w:t>постанови КМУ від 11.10.2016 № 710 «</w:t>
      </w:r>
      <w:r w:rsidRPr="00486D82">
        <w:rPr>
          <w:rFonts w:ascii="Times New Roman" w:hAnsi="Times New Roman" w:cs="Times New Roman"/>
          <w:i/>
          <w:lang w:val="uk-UA"/>
        </w:rPr>
        <w:t>Про ефективне використання державних коштів» (зі змінами)</w:t>
      </w:r>
      <w:r w:rsidRPr="00486D82">
        <w:rPr>
          <w:rFonts w:ascii="Times New Roman" w:hAnsi="Times New Roman" w:cs="Times New Roman"/>
          <w:lang w:val="uk-UA"/>
        </w:rPr>
        <w:t>)</w:t>
      </w:r>
    </w:p>
    <w:sectPr w:rsidR="00E62C4B" w:rsidRPr="00486D82" w:rsidSect="003E1753">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A3" w:rsidRDefault="005205A3" w:rsidP="003E1753">
      <w:pPr>
        <w:spacing w:after="0" w:line="240" w:lineRule="auto"/>
      </w:pPr>
      <w:r>
        <w:separator/>
      </w:r>
    </w:p>
  </w:endnote>
  <w:endnote w:type="continuationSeparator" w:id="1">
    <w:p w:rsidR="005205A3" w:rsidRDefault="005205A3" w:rsidP="003E1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A3" w:rsidRDefault="005205A3" w:rsidP="003E1753">
      <w:pPr>
        <w:spacing w:after="0" w:line="240" w:lineRule="auto"/>
      </w:pPr>
      <w:r>
        <w:separator/>
      </w:r>
    </w:p>
  </w:footnote>
  <w:footnote w:type="continuationSeparator" w:id="1">
    <w:p w:rsidR="005205A3" w:rsidRDefault="005205A3" w:rsidP="003E1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53" w:rsidRPr="00CF0ED1" w:rsidRDefault="003E1753" w:rsidP="003E1753">
    <w:pPr>
      <w:widowControl w:val="0"/>
      <w:autoSpaceDE w:val="0"/>
      <w:autoSpaceDN w:val="0"/>
      <w:adjustRightInd w:val="0"/>
      <w:spacing w:after="0" w:line="240" w:lineRule="auto"/>
      <w:ind w:left="5387"/>
      <w:jc w:val="both"/>
      <w:rPr>
        <w:rFonts w:ascii="Times New Roman" w:hAnsi="Times New Roman" w:cs="Times New Roman"/>
        <w:color w:val="FF0000"/>
        <w:sz w:val="24"/>
        <w:szCs w:val="24"/>
        <w:lang w:val="uk-UA"/>
      </w:rPr>
    </w:pPr>
  </w:p>
  <w:p w:rsidR="003E1753" w:rsidRPr="007D7637" w:rsidRDefault="003E1753" w:rsidP="003E1753">
    <w:pPr>
      <w:spacing w:line="240" w:lineRule="auto"/>
      <w:contextualSpacing/>
      <w:jc w:val="center"/>
      <w:rPr>
        <w:rFonts w:ascii="Times New Roman" w:hAnsi="Times New Roman" w:cs="Times New Roman"/>
        <w:sz w:val="24"/>
        <w:szCs w:val="24"/>
        <w:lang w:val="uk-UA"/>
      </w:rPr>
    </w:pPr>
  </w:p>
  <w:p w:rsidR="003E1753" w:rsidRPr="003E1753" w:rsidRDefault="003E1753">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233"/>
    <w:multiLevelType w:val="hybridMultilevel"/>
    <w:tmpl w:val="8B06D012"/>
    <w:lvl w:ilvl="0" w:tplc="2110AE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4A7E1F"/>
    <w:multiLevelType w:val="hybridMultilevel"/>
    <w:tmpl w:val="D960E03E"/>
    <w:lvl w:ilvl="0" w:tplc="0232798E">
      <w:start w:val="3"/>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nsid w:val="6BA60EEB"/>
    <w:multiLevelType w:val="hybridMultilevel"/>
    <w:tmpl w:val="7294F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C5967F7"/>
    <w:multiLevelType w:val="hybridMultilevel"/>
    <w:tmpl w:val="A1AA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2CC7"/>
    <w:rsid w:val="000A6664"/>
    <w:rsid w:val="000C49E6"/>
    <w:rsid w:val="000F1099"/>
    <w:rsid w:val="000F6F45"/>
    <w:rsid w:val="00143BA0"/>
    <w:rsid w:val="001A52EC"/>
    <w:rsid w:val="001F3612"/>
    <w:rsid w:val="00203054"/>
    <w:rsid w:val="00285C19"/>
    <w:rsid w:val="00307C5A"/>
    <w:rsid w:val="00350AE4"/>
    <w:rsid w:val="003D6296"/>
    <w:rsid w:val="003E1753"/>
    <w:rsid w:val="00486D82"/>
    <w:rsid w:val="005168C2"/>
    <w:rsid w:val="005205A3"/>
    <w:rsid w:val="005449D1"/>
    <w:rsid w:val="0055370D"/>
    <w:rsid w:val="005D2CC7"/>
    <w:rsid w:val="005E1A65"/>
    <w:rsid w:val="00654030"/>
    <w:rsid w:val="006754E1"/>
    <w:rsid w:val="006F1D75"/>
    <w:rsid w:val="007066C9"/>
    <w:rsid w:val="00752232"/>
    <w:rsid w:val="0077615B"/>
    <w:rsid w:val="0081122F"/>
    <w:rsid w:val="00821EA8"/>
    <w:rsid w:val="00927A5A"/>
    <w:rsid w:val="00942ED5"/>
    <w:rsid w:val="00947FCF"/>
    <w:rsid w:val="00950FDA"/>
    <w:rsid w:val="009579CF"/>
    <w:rsid w:val="009B7574"/>
    <w:rsid w:val="009F1F73"/>
    <w:rsid w:val="00A067C6"/>
    <w:rsid w:val="00A0696E"/>
    <w:rsid w:val="00A47E52"/>
    <w:rsid w:val="00A86BAD"/>
    <w:rsid w:val="00AC10B7"/>
    <w:rsid w:val="00B7286C"/>
    <w:rsid w:val="00B8425B"/>
    <w:rsid w:val="00B91481"/>
    <w:rsid w:val="00B964EF"/>
    <w:rsid w:val="00BA15A7"/>
    <w:rsid w:val="00BA7D57"/>
    <w:rsid w:val="00C25763"/>
    <w:rsid w:val="00C25BEE"/>
    <w:rsid w:val="00C347E5"/>
    <w:rsid w:val="00C73AFB"/>
    <w:rsid w:val="00D349F0"/>
    <w:rsid w:val="00D416C9"/>
    <w:rsid w:val="00D45A6F"/>
    <w:rsid w:val="00D54789"/>
    <w:rsid w:val="00D547B0"/>
    <w:rsid w:val="00E14D1C"/>
    <w:rsid w:val="00E26AA3"/>
    <w:rsid w:val="00E32553"/>
    <w:rsid w:val="00E62C4B"/>
    <w:rsid w:val="00E93DD2"/>
    <w:rsid w:val="00EF5B37"/>
    <w:rsid w:val="00F1460F"/>
    <w:rsid w:val="00F22C14"/>
    <w:rsid w:val="00FB1BF3"/>
    <w:rsid w:val="00FD137B"/>
    <w:rsid w:val="00FD47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E4"/>
  </w:style>
  <w:style w:type="paragraph" w:styleId="1">
    <w:name w:val="heading 1"/>
    <w:basedOn w:val="a"/>
    <w:link w:val="10"/>
    <w:uiPriority w:val="9"/>
    <w:qFormat/>
    <w:rsid w:val="00516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CC7"/>
    <w:pPr>
      <w:ind w:left="720"/>
      <w:contextualSpacing/>
    </w:pPr>
  </w:style>
  <w:style w:type="table" w:styleId="a4">
    <w:name w:val="Table Grid"/>
    <w:basedOn w:val="a1"/>
    <w:uiPriority w:val="39"/>
    <w:rsid w:val="0065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 Знак Знак Знак Знак Знак Знак Знак Знак Знак Знак Знак Знак Знак"/>
    <w:basedOn w:val="a"/>
    <w:rsid w:val="005168C2"/>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5168C2"/>
    <w:rPr>
      <w:rFonts w:ascii="Times New Roman" w:eastAsia="Times New Roman" w:hAnsi="Times New Roman" w:cs="Times New Roman"/>
      <w:b/>
      <w:bCs/>
      <w:kern w:val="36"/>
      <w:sz w:val="48"/>
      <w:szCs w:val="48"/>
      <w:lang w:eastAsia="ru-RU"/>
    </w:rPr>
  </w:style>
  <w:style w:type="paragraph" w:customStyle="1" w:styleId="Default">
    <w:name w:val="Default"/>
    <w:rsid w:val="00D54789"/>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5">
    <w:name w:val="Hyperlink"/>
    <w:basedOn w:val="a0"/>
    <w:uiPriority w:val="99"/>
    <w:unhideWhenUsed/>
    <w:rsid w:val="003D6296"/>
    <w:rPr>
      <w:color w:val="0563C1" w:themeColor="hyperlink"/>
      <w:u w:val="single"/>
    </w:rPr>
  </w:style>
  <w:style w:type="paragraph" w:styleId="a6">
    <w:name w:val="header"/>
    <w:basedOn w:val="a"/>
    <w:link w:val="a7"/>
    <w:uiPriority w:val="99"/>
    <w:semiHidden/>
    <w:unhideWhenUsed/>
    <w:rsid w:val="003E1753"/>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3E1753"/>
  </w:style>
  <w:style w:type="paragraph" w:styleId="a8">
    <w:name w:val="footer"/>
    <w:basedOn w:val="a"/>
    <w:link w:val="a9"/>
    <w:uiPriority w:val="99"/>
    <w:semiHidden/>
    <w:unhideWhenUsed/>
    <w:rsid w:val="003E175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E1753"/>
  </w:style>
</w:styles>
</file>

<file path=word/webSettings.xml><?xml version="1.0" encoding="utf-8"?>
<w:webSettings xmlns:r="http://schemas.openxmlformats.org/officeDocument/2006/relationships" xmlns:w="http://schemas.openxmlformats.org/wordprocessingml/2006/main">
  <w:divs>
    <w:div w:id="809900166">
      <w:bodyDiv w:val="1"/>
      <w:marLeft w:val="0"/>
      <w:marRight w:val="0"/>
      <w:marTop w:val="0"/>
      <w:marBottom w:val="0"/>
      <w:divBdr>
        <w:top w:val="none" w:sz="0" w:space="0" w:color="auto"/>
        <w:left w:val="none" w:sz="0" w:space="0" w:color="auto"/>
        <w:bottom w:val="none" w:sz="0" w:space="0" w:color="auto"/>
        <w:right w:val="none" w:sz="0" w:space="0" w:color="auto"/>
      </w:divBdr>
    </w:div>
    <w:div w:id="1750419724">
      <w:bodyDiv w:val="1"/>
      <w:marLeft w:val="0"/>
      <w:marRight w:val="0"/>
      <w:marTop w:val="0"/>
      <w:marBottom w:val="0"/>
      <w:divBdr>
        <w:top w:val="none" w:sz="0" w:space="0" w:color="auto"/>
        <w:left w:val="none" w:sz="0" w:space="0" w:color="auto"/>
        <w:bottom w:val="none" w:sz="0" w:space="0" w:color="auto"/>
        <w:right w:val="none" w:sz="0" w:space="0" w:color="auto"/>
      </w:divBdr>
    </w:div>
    <w:div w:id="20796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1638</Words>
  <Characters>935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Vadym Lytvyn</dc:creator>
  <cp:lastModifiedBy>Людмила</cp:lastModifiedBy>
  <cp:revision>10</cp:revision>
  <cp:lastPrinted>2024-05-15T08:29:00Z</cp:lastPrinted>
  <dcterms:created xsi:type="dcterms:W3CDTF">2024-05-14T12:29:00Z</dcterms:created>
  <dcterms:modified xsi:type="dcterms:W3CDTF">2024-05-30T06:51:00Z</dcterms:modified>
</cp:coreProperties>
</file>