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37" w:type="dxa"/>
        <w:tblInd w:w="-856" w:type="dxa"/>
        <w:tblLook w:val="04A0" w:firstRow="1" w:lastRow="0" w:firstColumn="1" w:lastColumn="0" w:noHBand="0" w:noVBand="1"/>
      </w:tblPr>
      <w:tblGrid>
        <w:gridCol w:w="636"/>
        <w:gridCol w:w="3305"/>
        <w:gridCol w:w="6096"/>
      </w:tblGrid>
      <w:tr w:rsidR="009130AF" w:rsidRPr="009130AF" w14:paraId="7ED87CA8" w14:textId="77777777" w:rsidTr="006044DF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305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00CE5C0A" w14:textId="77777777" w:rsidR="007226BF" w:rsidRDefault="007226BF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</w:p>
          <w:p w14:paraId="28FBAE74" w14:textId="6A22BC7D" w:rsidR="00300443" w:rsidRPr="009130AF" w:rsidRDefault="007226BF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Галицький фаховий коледж імені В</w:t>
            </w:r>
            <w:r w:rsidR="006044DF" w:rsidRPr="000E2B0A">
              <w:rPr>
                <w:bCs/>
                <w:sz w:val="24"/>
                <w:szCs w:val="24"/>
                <w:lang w:val="ru-RU"/>
              </w:rPr>
              <w:t>`</w:t>
            </w:r>
            <w:r>
              <w:rPr>
                <w:bCs/>
                <w:sz w:val="24"/>
                <w:szCs w:val="24"/>
              </w:rPr>
              <w:t>ячеслава Чорновола</w:t>
            </w:r>
          </w:p>
          <w:p w14:paraId="00D4C93D" w14:textId="5EAC38C2" w:rsidR="00300443" w:rsidRPr="007226B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  <w:lang w:val="ru-RU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="007226BF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="007226BF">
              <w:rPr>
                <w:bCs/>
                <w:sz w:val="24"/>
                <w:szCs w:val="24"/>
              </w:rPr>
              <w:t xml:space="preserve"> , 15</w:t>
            </w:r>
          </w:p>
          <w:p w14:paraId="1A9CEFA8" w14:textId="342B04EC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код ЄДРПОУ </w:t>
            </w:r>
            <w:r w:rsidR="007226BF">
              <w:rPr>
                <w:bCs/>
                <w:sz w:val="24"/>
                <w:szCs w:val="24"/>
              </w:rPr>
              <w:t>14039833</w:t>
            </w:r>
          </w:p>
          <w:p w14:paraId="1FA45834" w14:textId="686C9729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 xml:space="preserve">атегорія замовника – </w:t>
            </w:r>
            <w:r w:rsidR="00A30AB5">
              <w:rPr>
                <w:sz w:val="24"/>
                <w:szCs w:val="24"/>
              </w:rPr>
              <w:t>ю</w:t>
            </w:r>
            <w:r w:rsidR="007226BF" w:rsidRPr="007226BF">
              <w:rPr>
                <w:sz w:val="24"/>
                <w:szCs w:val="24"/>
              </w:rPr>
              <w:t>ридична особа, яка забезпечує потреби держави або територіальної громади</w:t>
            </w:r>
          </w:p>
        </w:tc>
      </w:tr>
      <w:tr w:rsidR="009130AF" w:rsidRPr="009130AF" w14:paraId="58ABBD12" w14:textId="77777777" w:rsidTr="006044DF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305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5B894ACF" w14:textId="55128584" w:rsidR="00A30AB5" w:rsidRDefault="00DD13DD" w:rsidP="006044DF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0" w:name="_Hlk165279619"/>
            <w:r w:rsidRPr="00DD13DD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Комплекти комп’ютерного симулятора управління </w:t>
            </w:r>
            <w:proofErr w:type="spellStart"/>
            <w:r w:rsidRPr="00DD13DD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дронами</w:t>
            </w:r>
            <w:proofErr w:type="spellEnd"/>
            <w:r w:rsidRPr="00DD13DD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для навчального кабінету  «Захист України»</w:t>
            </w:r>
          </w:p>
          <w:p w14:paraId="50B19E59" w14:textId="5B542640" w:rsidR="00A8303F" w:rsidRPr="007226BF" w:rsidRDefault="006044DF" w:rsidP="006044DF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3077F1">
              <w:rPr>
                <w:rFonts w:eastAsia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 xml:space="preserve">ДК 021:2015 </w:t>
            </w:r>
            <w:r w:rsidR="00DD13DD" w:rsidRPr="00DD13DD">
              <w:rPr>
                <w:rFonts w:eastAsia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>34740000-6: Обладнання для повітряних і космічних літальних апаратів, тренажери, симулятори та супутні деталі</w:t>
            </w:r>
            <w:bookmarkEnd w:id="0"/>
          </w:p>
          <w:p w14:paraId="18A70166" w14:textId="47F88AB9" w:rsidR="00EE4B84" w:rsidRPr="00EE4B84" w:rsidRDefault="00EE4B84" w:rsidP="00EE4B84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B70925C" w14:textId="76C9C302" w:rsidR="00D9450C" w:rsidRPr="009130AF" w:rsidRDefault="00D9450C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6044DF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305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7B15D7F" w:rsidR="00516F65" w:rsidRPr="006044DF" w:rsidRDefault="00DD13DD" w:rsidP="00894E12">
            <w:pPr>
              <w:rPr>
                <w:rFonts w:cs="Times New Roman"/>
                <w:sz w:val="24"/>
                <w:szCs w:val="24"/>
              </w:rPr>
            </w:pPr>
            <w:r w:rsidRPr="00DD13DD">
              <w:rPr>
                <w:rFonts w:cs="Times New Roman"/>
                <w:sz w:val="24"/>
                <w:szCs w:val="24"/>
              </w:rPr>
              <w:t>UA-2024-11-27-017980-a</w:t>
            </w:r>
          </w:p>
        </w:tc>
      </w:tr>
      <w:tr w:rsidR="009130AF" w:rsidRPr="009130AF" w14:paraId="0CDDAFC5" w14:textId="77777777" w:rsidTr="006044DF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305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45CBB301" w14:textId="248C4314" w:rsidR="000F7031" w:rsidRPr="00F820E8" w:rsidRDefault="00610C2D" w:rsidP="00F820E8">
            <w:pPr>
              <w:tabs>
                <w:tab w:val="left" w:pos="284"/>
              </w:tabs>
              <w:ind w:firstLine="42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D2706">
              <w:rPr>
                <w:rFonts w:eastAsia="Times New Roman" w:cs="Times New Roman"/>
                <w:sz w:val="24"/>
                <w:szCs w:val="24"/>
              </w:rPr>
              <w:t xml:space="preserve">Закупівля здійснюється на виконання </w:t>
            </w:r>
            <w:r w:rsidR="000F7031">
              <w:rPr>
                <w:rFonts w:cs="Times New Roman"/>
                <w:color w:val="000000"/>
                <w:sz w:val="24"/>
                <w:szCs w:val="24"/>
              </w:rPr>
              <w:t>Наказу Міністерства освіти і науки України від 10травня 2024 року № 659 «Про затвердження Типового переліку засобів навчання та обладнання для забезпечення викладання предмета «Захист України» закладів освіти, що забезпечують здобуття повної загальної середньої освіти».</w:t>
            </w:r>
          </w:p>
          <w:p w14:paraId="59402524" w14:textId="7357F3D4" w:rsidR="00516F65" w:rsidRPr="00D829EA" w:rsidRDefault="000B29DA" w:rsidP="006044DF">
            <w:pPr>
              <w:tabs>
                <w:tab w:val="left" w:pos="284"/>
              </w:tabs>
              <w:ind w:firstLine="426"/>
              <w:jc w:val="both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5D2706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5D2706">
              <w:rPr>
                <w:sz w:val="24"/>
                <w:szCs w:val="24"/>
              </w:rPr>
              <w:t>.</w:t>
            </w:r>
            <w:r w:rsidR="00BE7953" w:rsidRPr="005D2706">
              <w:rPr>
                <w:sz w:val="24"/>
                <w:szCs w:val="24"/>
              </w:rPr>
              <w:t xml:space="preserve"> Учасник</w:t>
            </w:r>
            <w:r w:rsidR="00263EFD" w:rsidRPr="005D2706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 w:rsidRPr="005D2706">
              <w:rPr>
                <w:sz w:val="24"/>
                <w:szCs w:val="24"/>
              </w:rPr>
              <w:t>д</w:t>
            </w:r>
            <w:r w:rsidR="00263EFD" w:rsidRPr="005D2706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</w:t>
            </w:r>
            <w:r w:rsidR="00BE7953" w:rsidRPr="005D2706">
              <w:rPr>
                <w:sz w:val="24"/>
                <w:szCs w:val="24"/>
              </w:rPr>
              <w:t xml:space="preserve">..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  <w:r w:rsidR="003D663F" w:rsidRPr="005D2706">
              <w:rPr>
                <w:rFonts w:cs="Times New Roman"/>
                <w:sz w:val="24"/>
                <w:szCs w:val="24"/>
              </w:rPr>
              <w:t>Доставка товару та пусконалагоджувальні роботи, пов’язані з товаром, його навантаження та розвантаження здійснюється учасником (постачальником) та за його рахунок.</w:t>
            </w:r>
            <w:r w:rsidR="003D663F" w:rsidRPr="005D2706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6044DF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305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ECA95B0" w14:textId="66529C2A" w:rsidR="00F13BF7" w:rsidRPr="00F13BF7" w:rsidRDefault="00516F65" w:rsidP="006044DF">
            <w:pPr>
              <w:spacing w:line="240" w:lineRule="atLeast"/>
              <w:ind w:left="5" w:hanging="5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F13BF7" w:rsidRPr="00F13BF7">
              <w:rPr>
                <w:sz w:val="24"/>
                <w:szCs w:val="24"/>
              </w:rPr>
              <w:t xml:space="preserve"> згідно  програми:</w:t>
            </w:r>
          </w:p>
          <w:p w14:paraId="26CF60D3" w14:textId="320CE72C" w:rsidR="006044DF" w:rsidRPr="006044DF" w:rsidRDefault="00F13BF7" w:rsidP="00F13BF7">
            <w:pPr>
              <w:spacing w:line="240" w:lineRule="atLeast"/>
              <w:jc w:val="both"/>
              <w:rPr>
                <w:rFonts w:ascii="Arial" w:hAnsi="Arial" w:cs="Arial"/>
                <w:color w:val="555555"/>
                <w:sz w:val="18"/>
                <w:szCs w:val="20"/>
                <w:shd w:val="clear" w:color="auto" w:fill="F3F7FA"/>
              </w:rPr>
            </w:pPr>
            <w:r w:rsidRPr="006044DF">
              <w:rPr>
                <w:sz w:val="22"/>
                <w:szCs w:val="24"/>
              </w:rPr>
              <w:t xml:space="preserve">- </w:t>
            </w:r>
            <w:proofErr w:type="spellStart"/>
            <w:r w:rsidR="006044DF" w:rsidRPr="006044DF">
              <w:rPr>
                <w:rFonts w:cs="Times New Roman"/>
                <w:sz w:val="24"/>
                <w:szCs w:val="28"/>
              </w:rPr>
              <w:t>Співфінансування</w:t>
            </w:r>
            <w:proofErr w:type="spellEnd"/>
            <w:r w:rsidR="006044DF" w:rsidRPr="006044DF">
              <w:rPr>
                <w:rFonts w:cs="Times New Roman"/>
                <w:sz w:val="24"/>
                <w:szCs w:val="28"/>
              </w:rPr>
              <w:t xml:space="preserve"> заходів, що реалізуються за рахунок </w:t>
            </w:r>
            <w:r w:rsidR="006044DF" w:rsidRPr="006044DF">
              <w:rPr>
                <w:rFonts w:cs="Times New Roman"/>
                <w:sz w:val="24"/>
                <w:szCs w:val="28"/>
              </w:rPr>
              <w:lastRenderedPageBreak/>
              <w:t>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      </w:r>
          </w:p>
          <w:p w14:paraId="65EA13B1" w14:textId="5EA9AB55" w:rsidR="00F13BF7" w:rsidRPr="00F13BF7" w:rsidRDefault="006044DF" w:rsidP="00F13BF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044DF">
              <w:rPr>
                <w:rFonts w:cs="Times New Roman"/>
                <w:sz w:val="24"/>
                <w:szCs w:val="28"/>
              </w:rPr>
              <w:t>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      </w:r>
          </w:p>
          <w:p w14:paraId="4409A2C9" w14:textId="04CE37F7" w:rsidR="00031C2A" w:rsidRPr="009130AF" w:rsidRDefault="00031C2A" w:rsidP="006044DF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9130AF" w:rsidRPr="009130AF" w14:paraId="7EDDE39E" w14:textId="77777777" w:rsidTr="006044DF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305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37A96507" w:rsidR="00516F65" w:rsidRPr="005D2706" w:rsidRDefault="00246FC3" w:rsidP="006055E0">
            <w:pPr>
              <w:ind w:left="34" w:hanging="34"/>
              <w:jc w:val="both"/>
              <w:rPr>
                <w:sz w:val="24"/>
                <w:szCs w:val="24"/>
              </w:rPr>
            </w:pPr>
            <w:r w:rsidRPr="006044DF">
              <w:rPr>
                <w:sz w:val="24"/>
                <w:szCs w:val="24"/>
              </w:rPr>
              <w:t xml:space="preserve"> </w:t>
            </w:r>
            <w:r w:rsidR="00DD13DD" w:rsidRPr="00DD13DD">
              <w:rPr>
                <w:sz w:val="24"/>
                <w:szCs w:val="24"/>
              </w:rPr>
              <w:t>982 000 грн з ПДВ (дев'ятсот вісімдесят дві тисячі гривень, 00 копійок)</w:t>
            </w:r>
            <w:bookmarkStart w:id="1" w:name="_GoBack"/>
            <w:bookmarkEnd w:id="1"/>
          </w:p>
        </w:tc>
      </w:tr>
      <w:tr w:rsidR="009130AF" w:rsidRPr="009130AF" w14:paraId="5A54D568" w14:textId="77777777" w:rsidTr="006044DF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305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-листах, в електронній системі закупівель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6044DF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305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F25F9" w14:textId="77777777" w:rsidR="00095B52" w:rsidRDefault="00095B52" w:rsidP="003F52D9">
      <w:pPr>
        <w:spacing w:after="0" w:line="240" w:lineRule="auto"/>
      </w:pPr>
      <w:r>
        <w:separator/>
      </w:r>
    </w:p>
  </w:endnote>
  <w:endnote w:type="continuationSeparator" w:id="0">
    <w:p w14:paraId="751BAAAC" w14:textId="77777777" w:rsidR="00095B52" w:rsidRDefault="00095B52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455A3" w14:textId="77777777" w:rsidR="00095B52" w:rsidRDefault="00095B52" w:rsidP="003F52D9">
      <w:pPr>
        <w:spacing w:after="0" w:line="240" w:lineRule="auto"/>
      </w:pPr>
      <w:r>
        <w:separator/>
      </w:r>
    </w:p>
  </w:footnote>
  <w:footnote w:type="continuationSeparator" w:id="0">
    <w:p w14:paraId="3CC578DA" w14:textId="77777777" w:rsidR="00095B52" w:rsidRDefault="00095B52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1C2A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465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B52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C5C77"/>
    <w:rsid w:val="000D0151"/>
    <w:rsid w:val="000D2C61"/>
    <w:rsid w:val="000D44CD"/>
    <w:rsid w:val="000D5DB4"/>
    <w:rsid w:val="000D5F76"/>
    <w:rsid w:val="000D62FB"/>
    <w:rsid w:val="000D68E1"/>
    <w:rsid w:val="000E2B0A"/>
    <w:rsid w:val="000E3855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0F7031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D73FB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22C1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2B1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2F7"/>
    <w:rsid w:val="00573A6C"/>
    <w:rsid w:val="00573D81"/>
    <w:rsid w:val="005745DB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2706"/>
    <w:rsid w:val="005D344D"/>
    <w:rsid w:val="005E5376"/>
    <w:rsid w:val="005E72D3"/>
    <w:rsid w:val="005F4880"/>
    <w:rsid w:val="005F643F"/>
    <w:rsid w:val="006044DF"/>
    <w:rsid w:val="006055E0"/>
    <w:rsid w:val="00610C2D"/>
    <w:rsid w:val="00614942"/>
    <w:rsid w:val="00615A8B"/>
    <w:rsid w:val="00615E05"/>
    <w:rsid w:val="00617056"/>
    <w:rsid w:val="006213F6"/>
    <w:rsid w:val="00625203"/>
    <w:rsid w:val="00627228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26BF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AB0"/>
    <w:rsid w:val="00784873"/>
    <w:rsid w:val="00784D35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4C68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07B0"/>
    <w:rsid w:val="008E50D8"/>
    <w:rsid w:val="008F2DEB"/>
    <w:rsid w:val="008F64A8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0AB5"/>
    <w:rsid w:val="00A330CC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303F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0642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48B5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47D8D"/>
    <w:rsid w:val="00D508B4"/>
    <w:rsid w:val="00D577FA"/>
    <w:rsid w:val="00D614E1"/>
    <w:rsid w:val="00D61A8A"/>
    <w:rsid w:val="00D6776E"/>
    <w:rsid w:val="00D7242F"/>
    <w:rsid w:val="00D75C45"/>
    <w:rsid w:val="00D829EA"/>
    <w:rsid w:val="00D84AB7"/>
    <w:rsid w:val="00D92BB6"/>
    <w:rsid w:val="00D92DFF"/>
    <w:rsid w:val="00D9317C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13DD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4B84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13BF7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20E8"/>
    <w:rsid w:val="00F86393"/>
    <w:rsid w:val="00F864D6"/>
    <w:rsid w:val="00F94F9E"/>
    <w:rsid w:val="00F967F1"/>
    <w:rsid w:val="00FA1C24"/>
    <w:rsid w:val="00FA269E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nr-t">
    <w:name w:val="nr-t"/>
    <w:basedOn w:val="a0"/>
    <w:rsid w:val="00EE4B84"/>
  </w:style>
  <w:style w:type="character" w:styleId="ac">
    <w:name w:val="Hyperlink"/>
    <w:basedOn w:val="a0"/>
    <w:uiPriority w:val="99"/>
    <w:unhideWhenUsed/>
    <w:rsid w:val="00EE4B8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4B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nr-t">
    <w:name w:val="nr-t"/>
    <w:basedOn w:val="a0"/>
    <w:rsid w:val="00EE4B84"/>
  </w:style>
  <w:style w:type="character" w:styleId="ac">
    <w:name w:val="Hyperlink"/>
    <w:basedOn w:val="a0"/>
    <w:uiPriority w:val="99"/>
    <w:unhideWhenUsed/>
    <w:rsid w:val="00EE4B8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291E-DE95-49AF-A498-FB650CD6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2218</Words>
  <Characters>2219</Characters>
  <Application>Microsoft Office Word</Application>
  <DocSecurity>0</DocSecurity>
  <Lines>2219</Lines>
  <Paragraphs>2218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7</cp:revision>
  <cp:lastPrinted>2023-05-30T12:51:00Z</cp:lastPrinted>
  <dcterms:created xsi:type="dcterms:W3CDTF">2024-11-07T10:17:00Z</dcterms:created>
  <dcterms:modified xsi:type="dcterms:W3CDTF">2024-11-28T10:14:00Z</dcterms:modified>
</cp:coreProperties>
</file>