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ind w:firstLine="5670"/>
        <w:rPr>
          <w:rFonts w:ascii="Times New Roman" w:hAnsi="Times New Roman"/>
          <w:sz w:val="24"/>
          <w:szCs w:val="24"/>
          <w:lang w:val="ru-RU"/>
        </w:rPr>
      </w:pPr>
    </w:p>
    <w:p>
      <w:pPr>
        <w:spacing w:lineRule="auto" w:line="240" w:after="0" w:beforeAutospacing="0" w:afterAutospacing="0"/>
        <w:ind w:firstLine="5670"/>
        <w:rPr>
          <w:rFonts w:ascii="Times New Roman" w:hAnsi="Times New Roman"/>
          <w:sz w:val="24"/>
          <w:szCs w:val="24"/>
          <w:lang w:val="ru-RU"/>
        </w:rPr>
      </w:pPr>
      <w:r>
        <w:rPr>
          <w:rFonts w:ascii="Times New Roman" w:hAnsi="Times New Roman"/>
          <w:smallCaps w:val="0"/>
          <w:sz w:val="24"/>
          <w:szCs w:val="22"/>
          <w:cs w:val="0"/>
          <w:spacing w:val="0"/>
          <w:w w:val="100"/>
          <w:position w:val="0"/>
          <w:snapToGrid w:val="1"/>
          <w:lang w:val="ru-RU"/>
        </w:rPr>
        <w:t>Додаток до рішення __________</w:t>
      </w:r>
    </w:p>
    <w:p>
      <w:pPr>
        <w:jc w:val="both"/>
        <w:rPr>
          <w:rFonts w:ascii="Times" w:hAnsi="Times"/>
          <w:sz w:val="24"/>
        </w:rPr>
      </w:pPr>
      <w:r>
        <w:rPr>
          <w:rFonts w:ascii="Times" w:hAnsi="Times"/>
          <w:sz w:val="24"/>
        </w:rPr>
        <w:t xml:space="preserve">2.11. Сума коштів, що підлягає перерахуванню перевізнику за надані транспортні послуги, визначається, згідно пункту 2.3 Методики.  </w:t>
      </w:r>
    </w:p>
    <w:p>
      <w:pPr>
        <w:rPr>
          <w:rFonts w:ascii="Times" w:hAnsi="Times"/>
          <w:sz w:val="24"/>
        </w:rPr>
      </w:pPr>
      <w:r>
        <w:rPr>
          <w:rFonts w:ascii="Times" w:hAnsi="Times"/>
          <w:i w:val="1"/>
          <w:sz w:val="24"/>
        </w:rPr>
        <w:t>Сперерах = Вит– (Дох + Iн+Kпп</w:t>
      </w:r>
      <w:r>
        <w:rPr>
          <w:rFonts w:ascii="Times" w:hAnsi="Times"/>
          <w:sz w:val="24"/>
        </w:rPr>
        <w:t>) - ,грн.</w:t>
      </w:r>
    </w:p>
    <w:p>
      <w:pPr>
        <w:ind w:firstLine="709"/>
        <w:jc w:val="both"/>
        <w:rPr>
          <w:rFonts w:ascii="Times" w:hAnsi="Times"/>
          <w:sz w:val="24"/>
        </w:rPr>
      </w:pPr>
      <w:r>
        <w:rPr>
          <w:rFonts w:ascii="Times" w:hAnsi="Times"/>
          <w:i w:val="1"/>
          <w:sz w:val="24"/>
        </w:rPr>
        <w:t>Сперерах</w:t>
      </w:r>
      <w:r>
        <w:rPr>
          <w:rFonts w:ascii="Times" w:hAnsi="Times"/>
          <w:sz w:val="24"/>
        </w:rPr>
        <w:t>–сума що підлягає перерахунку перевізнику за надані транспортні послуги ПЗЕІ</w:t>
      </w:r>
    </w:p>
    <w:p>
      <w:pPr>
        <w:jc w:val="both"/>
        <w:rPr>
          <w:rFonts w:ascii="Times" w:hAnsi="Times"/>
          <w:sz w:val="24"/>
        </w:rPr>
      </w:pPr>
      <w:r>
        <w:rPr>
          <w:rFonts w:ascii="Times" w:hAnsi="Times"/>
          <w:i w:val="1"/>
          <w:sz w:val="24"/>
        </w:rPr>
        <w:t>Вит</w:t>
      </w:r>
      <w:r>
        <w:rPr>
          <w:rFonts w:ascii="Times" w:hAnsi="Times"/>
          <w:sz w:val="24"/>
        </w:rPr>
        <w:t>– витрати понесені в зв’язку з виконанням зобов’язань (вартість наданих перевізником транспортних послуг)</w:t>
      </w:r>
    </w:p>
    <w:p>
      <w:pPr>
        <w:jc w:val="both"/>
        <w:rPr>
          <w:rFonts w:ascii="Times" w:hAnsi="Times"/>
          <w:sz w:val="24"/>
        </w:rPr>
      </w:pPr>
      <w:r>
        <w:rPr>
          <w:rFonts w:ascii="Times" w:hAnsi="Times"/>
          <w:sz w:val="24"/>
        </w:rPr>
        <w:t>Д</w:t>
      </w:r>
      <w:r>
        <w:rPr>
          <w:rFonts w:ascii="Times" w:hAnsi="Times"/>
          <w:i w:val="1"/>
          <w:sz w:val="24"/>
        </w:rPr>
        <w:t>ох</w:t>
      </w:r>
      <w:r>
        <w:rPr>
          <w:rFonts w:ascii="Times" w:hAnsi="Times"/>
          <w:sz w:val="24"/>
        </w:rPr>
        <w:t>- дохід від продажу усіх видів проїзних квитків –надходження від тарифу (оплата послуг пасажиром);</w:t>
      </w:r>
    </w:p>
    <w:p>
      <w:pPr>
        <w:jc w:val="both"/>
        <w:rPr>
          <w:rFonts w:ascii="Times" w:hAnsi="Times"/>
          <w:sz w:val="24"/>
        </w:rPr>
      </w:pPr>
      <w:r>
        <w:rPr>
          <w:rFonts w:ascii="Times" w:hAnsi="Times"/>
          <w:i w:val="1"/>
          <w:sz w:val="24"/>
        </w:rPr>
        <w:t>Ін</w:t>
      </w:r>
      <w:r>
        <w:rPr>
          <w:rFonts w:ascii="Times" w:hAnsi="Times"/>
          <w:sz w:val="24"/>
        </w:rPr>
        <w:t xml:space="preserve"> - інші доходи нараховані за звітний період від надання додаткових послуг, за іншими напрямами господарської діяльності, отримані під час виконання відповідних зобов’язань щодо надання замовленої транспортної послуги, грн., в тому числі дохід від реклами на транспортних засобах;</w:t>
      </w:r>
    </w:p>
    <w:p>
      <w:pPr>
        <w:jc w:val="both"/>
        <w:rPr>
          <w:rFonts w:ascii="Times" w:hAnsi="Times"/>
          <w:sz w:val="24"/>
        </w:rPr>
      </w:pPr>
      <w:r>
        <w:rPr>
          <w:rFonts w:ascii="Times" w:hAnsi="Times"/>
          <w:i w:val="1"/>
          <w:sz w:val="24"/>
        </w:rPr>
        <w:t>Kпп-</w:t>
      </w:r>
      <w:r>
        <w:rPr>
          <w:rFonts w:ascii="Times" w:hAnsi="Times"/>
          <w:sz w:val="24"/>
        </w:rPr>
        <w:t xml:space="preserve">сума компенсаційних виплат бюджетів (державного та місцевого бюджетів) нараховані до оплати за звітний період, що стосується відповідної громадської послуги. </w:t>
      </w:r>
    </w:p>
    <w:p>
      <w:pPr>
        <w:jc w:val="both"/>
        <w:rPr>
          <w:rFonts w:ascii="Times" w:hAnsi="Times"/>
          <w:sz w:val="24"/>
        </w:rPr>
      </w:pPr>
      <w:r>
        <w:rPr>
          <w:rFonts w:ascii="Times" w:hAnsi="Times"/>
          <w:sz w:val="24"/>
        </w:rPr>
        <w:t xml:space="preserve">*Недофінансовані компенсаційні кошти за інші періоди, які фактично отримані у звітному періоді </w:t>
      </w:r>
      <w:bookmarkStart w:id="0" w:name="_GoBack"/>
      <w:bookmarkEnd w:id="0"/>
      <w:r>
        <w:rPr>
          <w:rFonts w:ascii="Times" w:hAnsi="Times"/>
          <w:sz w:val="24"/>
        </w:rPr>
        <w:t xml:space="preserve">включаються до розрахунку у звітному періоді.  </w:t>
      </w:r>
    </w:p>
    <w:p>
      <w:pPr>
        <w:jc w:val="both"/>
        <w:rPr>
          <w:rFonts w:ascii="Times" w:hAnsi="Times"/>
          <w:i w:val="1"/>
          <w:sz w:val="24"/>
        </w:rPr>
      </w:pPr>
      <w:r>
        <w:rPr>
          <w:rFonts w:ascii="Times" w:hAnsi="Times"/>
          <w:i w:val="1"/>
          <w:sz w:val="24"/>
        </w:rPr>
        <w:t>В разі, якщо (Дох + Iн+Kпп</w:t>
      </w:r>
      <w:r>
        <w:rPr>
          <w:rFonts w:ascii="Times" w:hAnsi="Times"/>
          <w:sz w:val="24"/>
        </w:rPr>
        <w:t xml:space="preserve">) більше/рівне </w:t>
      </w:r>
      <w:r>
        <w:rPr>
          <w:rFonts w:ascii="Times" w:hAnsi="Times"/>
          <w:i w:val="1"/>
          <w:sz w:val="24"/>
        </w:rPr>
        <w:t>Вит, розрахунки не проводяться, компенсаційні виплати не здійснюються.</w:t>
      </w:r>
    </w:p>
    <w:p>
      <w:pPr>
        <w:jc w:val="both"/>
        <w:rPr>
          <w:rFonts w:ascii="Times" w:hAnsi="Times"/>
          <w:sz w:val="24"/>
        </w:rPr>
      </w:pPr>
      <w:r>
        <w:rPr>
          <w:rFonts w:ascii="Times" w:hAnsi="Times"/>
          <w:i w:val="1"/>
          <w:sz w:val="24"/>
        </w:rPr>
        <w:t>Вит</w:t>
      </w:r>
      <w:r>
        <w:rPr>
          <w:rFonts w:ascii="Times" w:hAnsi="Times"/>
          <w:sz w:val="24"/>
        </w:rPr>
        <w:t xml:space="preserve">– витрати понесені в зв’язку з виконанням зобов’язань, визначаються  </w:t>
      </w:r>
    </w:p>
    <w:p>
      <w:pPr>
        <w:jc w:val="both"/>
        <w:rPr>
          <w:rFonts w:ascii="Times" w:hAnsi="Times"/>
          <w:sz w:val="24"/>
        </w:rPr>
      </w:pPr>
      <w:r>
        <w:rPr>
          <w:rFonts w:ascii="Times" w:hAnsi="Times"/>
          <w:i w:val="1"/>
          <w:sz w:val="24"/>
        </w:rPr>
        <w:t xml:space="preserve">Вит = Отрф*Трозх, </w:t>
      </w:r>
      <w:r>
        <w:rPr>
          <w:rFonts w:ascii="Times" w:hAnsi="Times"/>
          <w:sz w:val="24"/>
        </w:rPr>
        <w:t>грн.</w:t>
      </w:r>
    </w:p>
    <w:p>
      <w:pPr>
        <w:jc w:val="both"/>
        <w:rPr>
          <w:rFonts w:ascii="Times" w:hAnsi="Times"/>
          <w:sz w:val="24"/>
        </w:rPr>
      </w:pPr>
      <w:r>
        <w:rPr>
          <w:rFonts w:ascii="Times" w:hAnsi="Times"/>
          <w:sz w:val="24"/>
        </w:rPr>
        <w:t>де:</w:t>
      </w:r>
    </w:p>
    <w:p>
      <w:pPr>
        <w:jc w:val="both"/>
        <w:rPr>
          <w:rFonts w:ascii="Times" w:hAnsi="Times"/>
          <w:sz w:val="24"/>
        </w:rPr>
      </w:pPr>
      <w:r>
        <w:rPr>
          <w:rFonts w:ascii="Times" w:hAnsi="Times"/>
          <w:sz w:val="24"/>
        </w:rPr>
        <w:t>Отрф- обсяг фактично виконаної транспортної роботи, мкм;</w:t>
      </w:r>
    </w:p>
    <w:p>
      <w:pPr>
        <w:jc w:val="both"/>
        <w:rPr>
          <w:rFonts w:ascii="Times" w:hAnsi="Times"/>
          <w:sz w:val="24"/>
        </w:rPr>
      </w:pPr>
      <w:r>
        <w:rPr>
          <w:rFonts w:ascii="Times" w:hAnsi="Times"/>
          <w:i w:val="1"/>
          <w:sz w:val="24"/>
        </w:rPr>
        <w:t>Трозх</w:t>
      </w:r>
      <w:r>
        <w:rPr>
          <w:rFonts w:ascii="Times" w:hAnsi="Times"/>
          <w:sz w:val="24"/>
        </w:rPr>
        <w:t xml:space="preserve">-  розрахунковий тариф, грн./мкм;</w:t>
      </w:r>
    </w:p>
    <w:p>
      <w:pPr>
        <w:jc w:val="both"/>
        <w:rPr>
          <w:rFonts w:ascii="Times" w:hAnsi="Times"/>
          <w:sz w:val="24"/>
        </w:rPr>
      </w:pPr>
      <w:r>
        <w:rPr>
          <w:rFonts w:ascii="Times" w:hAnsi="Times"/>
          <w:sz w:val="24"/>
        </w:rPr>
        <w:t xml:space="preserve">Обчислення розрахункового тарифу </w:t>
      </w:r>
      <w:r>
        <w:rPr>
          <w:rFonts w:ascii="Times" w:hAnsi="Times"/>
          <w:i w:val="1"/>
          <w:sz w:val="24"/>
        </w:rPr>
        <w:t xml:space="preserve">(Трозх) </w:t>
      </w:r>
      <w:r>
        <w:rPr>
          <w:rFonts w:ascii="Times" w:hAnsi="Times"/>
          <w:sz w:val="24"/>
        </w:rPr>
        <w:t>на транспортні послуги, що надаватимуться Перевізником згідно замовлення, а саме - вартість 1 машино-км за формулою</w:t>
      </w:r>
    </w:p>
    <w:p>
      <w:pPr>
        <w:jc w:val="both"/>
        <w:rPr>
          <w:rFonts w:ascii="Times" w:hAnsi="Times"/>
          <w:sz w:val="24"/>
        </w:rPr>
      </w:pPr>
      <w:r>
        <w:rPr>
          <w:rFonts w:ascii="Times" w:hAnsi="Times"/>
          <w:i w:val="1"/>
          <w:sz w:val="24"/>
        </w:rPr>
        <w:t>Трозх = (ППС + Приб) / Отрп,</w:t>
      </w:r>
      <w:r>
        <w:rPr>
          <w:rFonts w:ascii="Times" w:hAnsi="Times"/>
          <w:sz w:val="24"/>
        </w:rPr>
        <w:t>грн/мкм.</w:t>
      </w:r>
    </w:p>
    <w:p>
      <w:pPr>
        <w:jc w:val="both"/>
        <w:rPr>
          <w:rFonts w:ascii="Times" w:hAnsi="Times"/>
          <w:sz w:val="24"/>
        </w:rPr>
      </w:pPr>
      <w:r>
        <w:rPr>
          <w:rFonts w:ascii="Times" w:hAnsi="Times"/>
          <w:sz w:val="24"/>
        </w:rPr>
        <w:t xml:space="preserve">де: </w:t>
      </w:r>
    </w:p>
    <w:p>
      <w:pPr>
        <w:jc w:val="both"/>
        <w:rPr>
          <w:rFonts w:ascii="Times" w:hAnsi="Times"/>
          <w:sz w:val="24"/>
        </w:rPr>
      </w:pPr>
      <w:r>
        <w:rPr>
          <w:rFonts w:ascii="Times" w:hAnsi="Times"/>
          <w:i w:val="1"/>
          <w:sz w:val="24"/>
        </w:rPr>
        <w:t>ППС</w:t>
      </w:r>
      <w:r>
        <w:rPr>
          <w:rFonts w:ascii="Times" w:hAnsi="Times"/>
          <w:sz w:val="24"/>
        </w:rPr>
        <w:t xml:space="preserve"> - повна планова (нормативно-розрахункова) собівартість замовлених транспортних перевезень грн.;</w:t>
      </w:r>
    </w:p>
    <w:p>
      <w:pPr>
        <w:jc w:val="both"/>
        <w:rPr>
          <w:rFonts w:ascii="Times" w:hAnsi="Times"/>
          <w:sz w:val="24"/>
        </w:rPr>
      </w:pPr>
      <w:r>
        <w:rPr>
          <w:rFonts w:ascii="Times" w:hAnsi="Times"/>
          <w:i w:val="1"/>
          <w:sz w:val="24"/>
        </w:rPr>
        <w:t>Приб</w:t>
      </w:r>
      <w:r>
        <w:rPr>
          <w:rFonts w:ascii="Times" w:hAnsi="Times"/>
          <w:sz w:val="24"/>
        </w:rPr>
        <w:t xml:space="preserve"> - плановий прибуток, грн;</w:t>
      </w:r>
    </w:p>
    <w:p>
      <w:pPr>
        <w:jc w:val="both"/>
        <w:rPr>
          <w:rFonts w:ascii="Times" w:hAnsi="Times"/>
          <w:sz w:val="24"/>
        </w:rPr>
      </w:pPr>
      <w:r>
        <w:rPr>
          <w:rFonts w:ascii="Times" w:hAnsi="Times"/>
          <w:i w:val="1"/>
          <w:sz w:val="24"/>
        </w:rPr>
        <w:t>Отрп</w:t>
      </w:r>
      <w:r>
        <w:rPr>
          <w:rFonts w:ascii="Times" w:hAnsi="Times"/>
          <w:sz w:val="24"/>
        </w:rPr>
        <w:t xml:space="preserve"> – плановий пробіг згідно паспортів (розкладів руху) маршрутів (плановий обсяг транспортної роботи).</w:t>
      </w:r>
    </w:p>
    <w:p>
      <w:pPr>
        <w:ind w:firstLine="708"/>
        <w:jc w:val="both"/>
        <w:rPr>
          <w:rFonts w:ascii="Times" w:hAnsi="Times"/>
          <w:sz w:val="24"/>
        </w:rPr>
      </w:pPr>
      <w:r>
        <w:rPr>
          <w:rFonts w:ascii="Times" w:hAnsi="Times"/>
          <w:sz w:val="24"/>
        </w:rPr>
        <w:t>Показник обсягу фактично виконаної транспортної роботи (Отрф</w:t>
      </w:r>
      <w:r>
        <w:rPr>
          <w:rFonts w:ascii="Times" w:hAnsi="Times"/>
          <w:i w:val="1"/>
          <w:sz w:val="24"/>
        </w:rPr>
        <w:t xml:space="preserve">) </w:t>
      </w:r>
      <w:r>
        <w:rPr>
          <w:rFonts w:ascii="Times" w:hAnsi="Times"/>
          <w:sz w:val="24"/>
        </w:rPr>
        <w:t xml:space="preserve">у машино-кілометрах,  отримується на підставі даних  оператора електронних систем (автоматизованої системи обліку оплати проїзду та GPS-моніторингу ) за розрахунковий період і містить показники транспортної роботи Перевізника на маршрутах, враховуючи додаткові замовлення.</w:t>
      </w:r>
    </w:p>
    <w:p>
      <w:pPr>
        <w:ind w:firstLine="709"/>
        <w:jc w:val="both"/>
        <w:rPr>
          <w:rFonts w:ascii="Times" w:hAnsi="Times"/>
          <w:sz w:val="24"/>
        </w:rPr>
      </w:pPr>
      <w:r>
        <w:rPr>
          <w:rFonts w:ascii="Times New Roman" w:hAnsi="Times New Roman"/>
          <w:sz w:val="24"/>
        </w:rPr>
        <w:t>З 01 квітня 2023 року с</w:t>
      </w:r>
      <w:r>
        <w:rPr>
          <w:rFonts w:ascii="Times" w:hAnsi="Times"/>
          <w:sz w:val="24"/>
        </w:rPr>
        <w:t>ума коштів, що підлягає перерахунку не нараховується при виконанні планового пробігу на маршрутах на звітний період менше ніж на 80 % (береться до розрахунку загальний показник по підприємству)</w:t>
      </w:r>
    </w:p>
    <w:p>
      <w:pPr>
        <w:ind w:firstLine="709"/>
        <w:jc w:val="both"/>
        <w:rPr>
          <w:rFonts w:ascii="Times" w:hAnsi="Times"/>
          <w:sz w:val="24"/>
        </w:rPr>
      </w:pPr>
      <w:r>
        <w:rPr>
          <w:rFonts w:ascii="Times" w:hAnsi="Times"/>
          <w:sz w:val="24"/>
        </w:rPr>
        <w:t xml:space="preserve">Відсоток виконання фактично виконаного пробігу на маршрутах не може перевищувати 100% планового пробігу. </w:t>
      </w:r>
    </w:p>
    <w:p>
      <w:pPr>
        <w:ind w:firstLine="709"/>
        <w:jc w:val="both"/>
        <w:rPr>
          <w:rFonts w:ascii="Times" w:hAnsi="Times"/>
          <w:sz w:val="24"/>
          <w:shd w:val="clear" w:color="auto" w:fill="FFFFFF"/>
        </w:rPr>
      </w:pPr>
      <w:r>
        <w:rPr>
          <w:rFonts w:ascii="Times" w:hAnsi="Times"/>
          <w:sz w:val="24"/>
        </w:rPr>
        <w:t xml:space="preserve">З 01 липня 2024 року </w:t>
      </w:r>
      <w:r>
        <w:rPr>
          <w:rFonts w:ascii="Times New Roman" w:hAnsi="Times New Roman"/>
          <w:sz w:val="24"/>
        </w:rPr>
        <w:t>с</w:t>
      </w:r>
      <w:r>
        <w:rPr>
          <w:rFonts w:ascii="Times" w:hAnsi="Times"/>
          <w:sz w:val="24"/>
        </w:rPr>
        <w:t>ума коштів, що підлягає перерахунку не нараховується при неналежному виконанні взятих зобов’язань, а саме, при оплаті праці водіїв, в розмірі, що є нижчим ніж передбачений при визначенні р</w:t>
      </w:r>
      <w:r>
        <w:rPr>
          <w:rFonts w:ascii="Times" w:hAnsi="Times"/>
          <w:sz w:val="24"/>
          <w:shd w:val="clear" w:color="auto" w:fill="FFFFFF"/>
        </w:rPr>
        <w:t>озрахункового тарифу на транспортні послуги, зокрема :</w:t>
      </w:r>
    </w:p>
    <w:p>
      <w:pPr>
        <w:ind w:left="142"/>
        <w:jc w:val="both"/>
        <w:rPr>
          <w:rFonts w:ascii="Times" w:hAnsi="Times"/>
          <w:sz w:val="24"/>
          <w:shd w:val="clear" w:color="auto" w:fill="FFFFFF"/>
        </w:rPr>
      </w:pPr>
      <w:r>
        <w:rPr>
          <w:rFonts w:ascii="Times" w:hAnsi="Times"/>
          <w:sz w:val="24"/>
          <w:shd w:val="clear" w:color="auto" w:fill="FFFFFF"/>
        </w:rPr>
        <w:t>- малі автобуси з/п - .24400,00 грн.(з нарахуваннями)</w:t>
      </w:r>
    </w:p>
    <w:p>
      <w:pPr>
        <w:ind w:left="142"/>
        <w:jc w:val="both"/>
        <w:rPr>
          <w:rFonts w:ascii="Times" w:hAnsi="Times"/>
          <w:sz w:val="24"/>
          <w:shd w:val="clear" w:color="auto" w:fill="FFFFFF"/>
        </w:rPr>
      </w:pPr>
      <w:r>
        <w:rPr>
          <w:rFonts w:ascii="Times" w:hAnsi="Times"/>
          <w:sz w:val="24"/>
          <w:shd w:val="clear" w:color="auto" w:fill="FFFFFF"/>
        </w:rPr>
        <w:t>- середні - 24400,00 грн.(з нарахуваннями)</w:t>
      </w:r>
    </w:p>
    <w:p>
      <w:pPr>
        <w:ind w:left="142"/>
        <w:jc w:val="both"/>
        <w:rPr>
          <w:rFonts w:ascii="Times" w:hAnsi="Times"/>
          <w:sz w:val="24"/>
          <w:shd w:val="clear" w:color="auto" w:fill="FFFFFF"/>
        </w:rPr>
      </w:pPr>
      <w:r>
        <w:rPr>
          <w:rFonts w:ascii="Times" w:hAnsi="Times"/>
          <w:sz w:val="24"/>
        </w:rPr>
        <w:t xml:space="preserve">- великі (Газ) та ДП - </w:t>
      </w:r>
      <w:r>
        <w:rPr>
          <w:rFonts w:ascii="Times" w:hAnsi="Times"/>
          <w:sz w:val="24"/>
          <w:shd w:val="clear" w:color="auto" w:fill="FFFFFF"/>
        </w:rPr>
        <w:t>24400,00 грн. (з нарахуваннями)</w:t>
      </w:r>
    </w:p>
    <w:p>
      <w:pPr>
        <w:ind w:firstLine="8"/>
        <w:rPr>
          <w:rFonts w:ascii="Times" w:hAnsi="Times"/>
          <w:sz w:val="24"/>
          <w:shd w:val="clear" w:color="auto" w:fill="FFFFFF"/>
        </w:rPr>
      </w:pPr>
      <w:r>
        <w:rPr>
          <w:rFonts w:ascii="Times" w:hAnsi="Times"/>
          <w:sz w:val="24"/>
        </w:rPr>
        <w:t xml:space="preserve">- тролейбуси - 22269,26 </w:t>
      </w:r>
      <w:r>
        <w:rPr>
          <w:rFonts w:ascii="Times" w:hAnsi="Times"/>
          <w:sz w:val="24"/>
          <w:shd w:val="clear" w:color="auto" w:fill="FFFFFF"/>
        </w:rPr>
        <w:t>грн. (з нарахуваннями)</w:t>
      </w:r>
    </w:p>
    <w:p>
      <w:pPr>
        <w:jc w:val="both"/>
        <w:rPr>
          <w:rFonts w:ascii="Times New Roman" w:hAnsi="Times New Roman"/>
          <w:sz w:val="24"/>
        </w:rPr>
      </w:pPr>
      <w:r>
        <w:rPr>
          <w:rFonts w:ascii="Times New Roman" w:hAnsi="Times New Roman"/>
          <w:sz w:val="24"/>
        </w:rPr>
        <w:t xml:space="preserve">Сума коштів, що підлягає перерахунку не нараховується Перевізнику у випадку підтвердженого факту отримання готівкових коштів водієм при оплаті за проїзд, отриманого замовником від контролюючих органів або посадових осіб, які наділені повноваженнями здійснювати контроль за роботою громадського пасажирського транспорту загального користування, виключно по 1-е число (включно)  місяця наступного за звітним.</w:t>
      </w:r>
    </w:p>
    <w:p>
      <w:pPr>
        <w:jc w:val="both"/>
        <w:rPr>
          <w:rFonts w:ascii="Times" w:hAnsi="Times"/>
          <w:i w:val="1"/>
          <w:sz w:val="24"/>
        </w:rPr>
      </w:pPr>
      <w:r>
        <w:rPr>
          <w:rFonts w:ascii="Times New Roman" w:hAnsi="Times New Roman"/>
          <w:i w:val="1"/>
          <w:sz w:val="24"/>
        </w:rPr>
        <w:t xml:space="preserve">Примітка: у випадку підтвердженого факту отримання готівкових коштів при оплаті за проїзд водієм орендованого автобуса КП «Міськавтотранс», фактичний пробіг на маршрутах, виконаний усіма транспортними засобами орендодавця автобуса, в якому виявлено дане порушення, не береться до розрахунку розміру виплат за надані транспортні послуги перевізником КП «Міськавтотранс». На вимогу Замовника, оператором електронних систем м. Тернополя в 3-х денний термін надаються </w:t>
      </w:r>
      <w:r>
        <w:rPr>
          <w:rFonts w:ascii="Times" w:hAnsi="Times"/>
          <w:i w:val="1"/>
          <w:sz w:val="24"/>
        </w:rPr>
        <w:t>належним чином завірені необхідні д</w:t>
      </w:r>
      <w:r>
        <w:rPr>
          <w:rFonts w:ascii="Times New Roman" w:hAnsi="Times New Roman"/>
          <w:i w:val="1"/>
          <w:sz w:val="24"/>
        </w:rPr>
        <w:t>ані (фактичний пробіг)</w:t>
      </w:r>
      <w:r>
        <w:rPr>
          <w:rFonts w:ascii="Times" w:hAnsi="Times"/>
          <w:i w:val="1"/>
          <w:sz w:val="24"/>
        </w:rPr>
        <w:t>.</w:t>
      </w:r>
    </w:p>
    <w:p>
      <w:pPr>
        <w:jc w:val="both"/>
        <w:rPr>
          <w:rFonts w:ascii="Times New Roman" w:hAnsi="Times New Roman"/>
          <w:sz w:val="24"/>
        </w:rPr>
      </w:pPr>
      <w:r>
        <w:rPr>
          <w:rFonts w:ascii="Times New Roman" w:hAnsi="Times New Roman"/>
          <w:sz w:val="24"/>
        </w:rPr>
        <w:t xml:space="preserve">Факт отримання готівкових коштів водієм підтверджуються відповідною відеофіксацією, яка ведеться безперервно в конкретному транспортному засобі (із озвученням на запис дати, часу перевірки, номера транспортного засобу. Дана відео фіксація в подальшому зберігається на електронній пошті управління транспортних мереж та зв’язку Тернопільської міської ради) та складеним актом про отримання готівкових коштів за проїзд водієм громадського пасажирського транспорту загального користування (із зазначенням дати та часу події, ідентифікацією водія, номера маршруту, номерного знаку/бортового номеру транспортного засобу та контролюючих осіб). </w:t>
      </w:r>
    </w:p>
    <w:p>
      <w:pPr>
        <w:jc w:val="both"/>
        <w:rPr>
          <w:rFonts w:ascii="Times New Roman" w:hAnsi="Times New Roman"/>
          <w:sz w:val="24"/>
        </w:rPr>
      </w:pPr>
    </w:p>
    <w:p>
      <w:pPr>
        <w:spacing w:lineRule="auto" w:line="240" w:beforeAutospacing="0" w:afterAutospacing="0"/>
        <w:jc w:val="both"/>
        <w:rPr>
          <w:rFonts w:ascii="Times New Roman" w:hAnsi="Times New Roman"/>
          <w:color w:val="000000"/>
          <w:sz w:val="24"/>
        </w:rPr>
      </w:pPr>
      <w:r>
        <w:rPr>
          <w:rFonts w:ascii="Times New Roman" w:hAnsi="Times New Roman"/>
          <w:sz w:val="24"/>
        </w:rPr>
        <w:t xml:space="preserve">    </w:t>
      </w:r>
      <w:r>
        <w:rPr>
          <w:rFonts w:ascii="Times New Roman" w:hAnsi="Times New Roman"/>
          <w:color w:val="000000"/>
          <w:sz w:val="24"/>
        </w:rPr>
        <w:t xml:space="preserve">Міський голова </w:t>
        <w:tab/>
        <w:tab/>
        <w:tab/>
        <w:tab/>
        <w:tab/>
        <w:tab/>
        <w:tab/>
        <w:t xml:space="preserve">  Сергій НАДАЛ</w:t>
      </w:r>
    </w:p>
    <w:p>
      <w:pPr>
        <w:spacing w:lineRule="auto" w:line="240" w:beforeAutospacing="0" w:afterAutospacing="0"/>
        <w:rPr>
          <w:rFonts w:ascii="Times New Roman" w:hAnsi="Times New Roman"/>
          <w:color w:val="000000"/>
          <w:sz w:val="24"/>
        </w:rPr>
      </w:pPr>
      <w:r>
        <w:rPr>
          <w:rFonts w:ascii="Times New Roman" w:hAnsi="Times New Roman"/>
          <w:sz w:val="24"/>
        </w:rPr>
        <w:t xml:space="preserve"> </w:t>
      </w:r>
      <w:r>
        <w:rPr>
          <w:rFonts w:ascii="Times New Roman" w:hAnsi="Times New Roman"/>
          <w:color w:val="000000"/>
          <w:sz w:val="24"/>
        </w:rPr>
        <w:t xml:space="preserve"> </w:t>
        <w:br w:type="textWrapping"/>
        <w:t xml:space="preserve"> </w:t>
      </w:r>
    </w:p>
    <w:p>
      <w:pPr>
        <w:jc w:val="both"/>
        <w:rPr>
          <w:rFonts w:ascii="Times New Roman" w:hAnsi="Times New Roman"/>
          <w:sz w:val="24"/>
        </w:rPr>
      </w:pPr>
      <w:r>
        <w:rPr>
          <w:rFonts w:ascii="Times New Roman" w:hAnsi="Times New Roman"/>
          <w:sz w:val="24"/>
        </w:rPr>
        <w:t xml:space="preserve">  
</w:t>
      </w:r>
    </w:p>
    <w:sectPr>
      <w:footnotePr/>
      <w:endnotePr/>
      <w:type w:val="nextPage"/>
      <w:pgSz w:w="11906" w:h="16838" w:code="0"/>
      <w:pgMar w:left="1701" w:right="1133" w:top="1134" w:bottom="2694" w:header="709" w:footer="709"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numbering.xml><?xml version="1.0" encoding="utf-8"?>
<w:numbering xmlns:w="http://schemas.openxmlformats.org/wordprocessingml/2006/main">
  <w:abstractNum w:abstractNumId="0">
    <w:nsid w:val="1AC82C3C"/>
    <w:multiLevelType w:val="multilevel"/>
    <w:lvl w:ilvl="0">
      <w:start w:val="1"/>
      <w:numFmt w:val="decimal"/>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lang w:val="uk-UA"/>
    </w:rPr>
  </w:style>
  <w:style w:type="paragraph" w:styleId="P1">
    <w:name w:val="footnote text"/>
    <w:link w:val="C4"/>
    <w:semiHidden/>
    <w:pPr>
      <w:spacing w:lineRule="auto" w:line="240" w:after="0"/>
    </w:pPr>
    <w:rPr>
      <w:sz w:val="20"/>
      <w:szCs w:val="20"/>
    </w:rPr>
  </w:style>
  <w:style w:type="paragraph" w:styleId="P2">
    <w:name w:val="endnote text"/>
    <w:link w:val="C6"/>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note reference"/>
    <w:semiHidden/>
    <w:rPr>
      <w:vertAlign w:val="superscript"/>
    </w:rPr>
  </w:style>
  <w:style w:type="character" w:styleId="C4">
    <w:name w:val="Footnote Text Char"/>
    <w:link w:val="P1"/>
    <w:semiHidden/>
    <w:rPr>
      <w:sz w:val="20"/>
      <w:szCs w:val="20"/>
    </w:rPr>
  </w:style>
  <w:style w:type="character" w:styleId="C5">
    <w:name w:val="endnote reference"/>
    <w:semiHidden/>
    <w:rPr>
      <w:vertAlign w:val="superscript"/>
    </w:rPr>
  </w:style>
  <w:style w:type="character" w:styleId="C6">
    <w:name w:val="Endnote Text Char"/>
    <w:link w:val="P2"/>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rPr>
      <w:rFonts w:ascii="Calibri" w:hAnsi="Calibri"/>
      <w:lang w:val="uk-UA"/>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d12-Salyk</dc:creator>
  <dcterms:created xsi:type="dcterms:W3CDTF">2024-12-16T10:22:00Z</dcterms:created>
  <cp:lastModifiedBy>askod</cp:lastModifiedBy>
  <dcterms:modified xsi:type="dcterms:W3CDTF">2024-12-16T14:16:54Z</dcterms:modified>
  <cp:revision>18</cp:revision>
</cp:coreProperties>
</file>