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62" w:rsidRPr="00210345" w:rsidRDefault="00164A62" w:rsidP="00164A62">
      <w:pPr>
        <w:pStyle w:val="a4"/>
        <w:spacing w:before="0" w:after="0"/>
        <w:ind w:firstLine="4253"/>
        <w:jc w:val="right"/>
        <w:rPr>
          <w:rFonts w:ascii="Times New Roman" w:hAnsi="Times New Roman"/>
          <w:b w:val="0"/>
          <w:sz w:val="22"/>
          <w:szCs w:val="22"/>
        </w:rPr>
      </w:pPr>
      <w:r w:rsidRPr="00D17204">
        <w:rPr>
          <w:rFonts w:ascii="Times New Roman" w:hAnsi="Times New Roman"/>
          <w:b w:val="0"/>
          <w:sz w:val="22"/>
          <w:szCs w:val="22"/>
        </w:rPr>
        <w:t xml:space="preserve">Додаток № 4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D17204">
        <w:rPr>
          <w:rFonts w:ascii="Times New Roman" w:hAnsi="Times New Roman"/>
          <w:b w:val="0"/>
          <w:sz w:val="22"/>
          <w:szCs w:val="22"/>
        </w:rPr>
        <w:t xml:space="preserve">до рішення міської ради від </w:t>
      </w:r>
      <w:r w:rsidRPr="000602F2">
        <w:rPr>
          <w:rFonts w:ascii="Times New Roman" w:hAnsi="Times New Roman"/>
          <w:noProof/>
          <w:sz w:val="22"/>
          <w:szCs w:val="22"/>
        </w:rPr>
        <w:t xml:space="preserve">15.06.2018р  </w:t>
      </w:r>
      <w:r w:rsidRPr="00D17204">
        <w:rPr>
          <w:rFonts w:ascii="Times New Roman" w:hAnsi="Times New Roman"/>
          <w:b w:val="0"/>
          <w:sz w:val="22"/>
          <w:szCs w:val="22"/>
        </w:rPr>
        <w:t>№</w:t>
      </w:r>
      <w:r w:rsidRPr="00210345">
        <w:rPr>
          <w:rFonts w:ascii="Times New Roman" w:hAnsi="Times New Roman"/>
          <w:b w:val="0"/>
          <w:noProof/>
          <w:sz w:val="22"/>
          <w:szCs w:val="22"/>
        </w:rPr>
        <w:t>№7/25/43</w:t>
      </w:r>
    </w:p>
    <w:p w:rsidR="00164A62" w:rsidRPr="00D17204" w:rsidRDefault="00164A62" w:rsidP="00164A62">
      <w:pPr>
        <w:pStyle w:val="a4"/>
        <w:spacing w:before="0" w:after="0"/>
        <w:rPr>
          <w:rFonts w:ascii="Times New Roman" w:hAnsi="Times New Roman"/>
          <w:sz w:val="22"/>
          <w:szCs w:val="22"/>
        </w:rPr>
      </w:pPr>
      <w:r w:rsidRPr="00D17204">
        <w:rPr>
          <w:rFonts w:ascii="Times New Roman" w:hAnsi="Times New Roman"/>
          <w:sz w:val="22"/>
          <w:szCs w:val="22"/>
        </w:rPr>
        <w:t>ПЕРЕЛІК</w:t>
      </w:r>
      <w:r w:rsidRPr="00D17204">
        <w:rPr>
          <w:rFonts w:ascii="Times New Roman" w:hAnsi="Times New Roman"/>
          <w:sz w:val="22"/>
          <w:szCs w:val="22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 w:rsidRPr="00D17204">
        <w:rPr>
          <w:rFonts w:ascii="Times New Roman" w:hAnsi="Times New Roman"/>
          <w:sz w:val="22"/>
          <w:szCs w:val="22"/>
          <w:vertAlign w:val="superscript"/>
        </w:rPr>
        <w:t>1</w:t>
      </w:r>
    </w:p>
    <w:p w:rsidR="00164A62" w:rsidRPr="00D17204" w:rsidRDefault="00164A62" w:rsidP="00164A62">
      <w:pPr>
        <w:pStyle w:val="a3"/>
        <w:spacing w:before="0"/>
        <w:jc w:val="both"/>
        <w:rPr>
          <w:rFonts w:ascii="Times New Roman" w:hAnsi="Times New Roman"/>
          <w:noProof/>
          <w:sz w:val="22"/>
          <w:szCs w:val="22"/>
        </w:rPr>
      </w:pPr>
      <w:r w:rsidRPr="00D17204">
        <w:rPr>
          <w:rFonts w:ascii="Times New Roman" w:hAnsi="Times New Roman"/>
          <w:b/>
          <w:noProof/>
          <w:sz w:val="22"/>
          <w:szCs w:val="22"/>
        </w:rPr>
        <w:t xml:space="preserve">          </w:t>
      </w:r>
      <w:r w:rsidRPr="00D17204">
        <w:rPr>
          <w:rFonts w:ascii="Times New Roman" w:hAnsi="Times New Roman"/>
          <w:noProof/>
          <w:sz w:val="22"/>
          <w:szCs w:val="22"/>
        </w:rPr>
        <w:t>Пільги встановлюються згідно з рішенням Тернопільської міської ради  »Про місцеві податки і збори» та вводяться в дію з  1 січня  2019  року.</w:t>
      </w:r>
    </w:p>
    <w:p w:rsidR="00164A62" w:rsidRPr="00D17204" w:rsidRDefault="00164A62" w:rsidP="00164A62">
      <w:pPr>
        <w:pStyle w:val="a3"/>
        <w:spacing w:before="0"/>
        <w:jc w:val="both"/>
        <w:rPr>
          <w:rFonts w:ascii="Times New Roman" w:hAnsi="Times New Roman"/>
          <w:noProof/>
          <w:sz w:val="22"/>
          <w:szCs w:val="22"/>
          <w:lang w:val="ru-RU"/>
        </w:rPr>
      </w:pPr>
      <w:r w:rsidRPr="00D17204">
        <w:rPr>
          <w:rFonts w:ascii="Times New Roman" w:hAnsi="Times New Roman"/>
          <w:noProof/>
          <w:sz w:val="22"/>
          <w:szCs w:val="22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:rsidR="00164A62" w:rsidRPr="00D17204" w:rsidRDefault="00164A62" w:rsidP="00164A62">
      <w:pPr>
        <w:pStyle w:val="a3"/>
        <w:spacing w:before="0"/>
        <w:jc w:val="both"/>
        <w:rPr>
          <w:rFonts w:ascii="Times New Roman" w:hAnsi="Times New Roman"/>
          <w:noProof/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1442"/>
        <w:gridCol w:w="1914"/>
        <w:gridCol w:w="4374"/>
      </w:tblGrid>
      <w:tr w:rsidR="00164A62" w:rsidRPr="00D17204" w:rsidTr="004E1CD1">
        <w:tc>
          <w:tcPr>
            <w:tcW w:w="990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D1720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Код області</w:t>
            </w:r>
          </w:p>
        </w:tc>
        <w:tc>
          <w:tcPr>
            <w:tcW w:w="748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D1720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Код району</w:t>
            </w:r>
          </w:p>
        </w:tc>
        <w:tc>
          <w:tcPr>
            <w:tcW w:w="993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D1720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Код згідно з КОАТУУ</w:t>
            </w:r>
          </w:p>
        </w:tc>
        <w:tc>
          <w:tcPr>
            <w:tcW w:w="2270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D1720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Найменування адміністративно-територіальної одиниці</w:t>
            </w:r>
            <w:r w:rsidRPr="00D1720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br/>
              <w:t>або населеного пункту, або території об’єднаної територіальної громади</w:t>
            </w:r>
          </w:p>
        </w:tc>
      </w:tr>
    </w:tbl>
    <w:p w:rsidR="00164A62" w:rsidRPr="00D17204" w:rsidRDefault="00164A62" w:rsidP="00164A62">
      <w:pPr>
        <w:pStyle w:val="a3"/>
        <w:spacing w:before="0"/>
        <w:jc w:val="both"/>
        <w:rPr>
          <w:rFonts w:ascii="Times New Roman" w:hAnsi="Times New Roman"/>
          <w:noProof/>
          <w:sz w:val="22"/>
          <w:szCs w:val="22"/>
          <w:lang w:val="ru-RU"/>
        </w:rPr>
      </w:pPr>
      <w:r w:rsidRPr="00D17204">
        <w:rPr>
          <w:rFonts w:ascii="Times New Roman" w:hAnsi="Times New Roman"/>
          <w:noProof/>
          <w:sz w:val="22"/>
          <w:szCs w:val="22"/>
          <w:lang w:val="ru-RU"/>
        </w:rPr>
        <w:t xml:space="preserve">                                                 6110100000           м. Тернопіль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1"/>
        <w:gridCol w:w="2767"/>
      </w:tblGrid>
      <w:tr w:rsidR="00164A62" w:rsidRPr="00D17204" w:rsidTr="004E1CD1">
        <w:trPr>
          <w:trHeight w:val="856"/>
        </w:trPr>
        <w:tc>
          <w:tcPr>
            <w:tcW w:w="3569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D17204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Група платників, категорія/класифікація   будівель та споруд</w:t>
            </w:r>
          </w:p>
        </w:tc>
        <w:tc>
          <w:tcPr>
            <w:tcW w:w="1431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jc w:val="both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D17204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Розмір пільги</w:t>
            </w:r>
            <w:r w:rsidRPr="00D17204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br/>
              <w:t>(відсотків суми податкового зобов’язання за рік)</w:t>
            </w:r>
          </w:p>
        </w:tc>
      </w:tr>
      <w:tr w:rsidR="00164A62" w:rsidRPr="00D17204" w:rsidTr="004E1CD1">
        <w:trPr>
          <w:trHeight w:val="827"/>
        </w:trPr>
        <w:tc>
          <w:tcPr>
            <w:tcW w:w="3569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jc w:val="both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D17204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В частині об»єктів житлової нерухомості, що перебувають у власності фізичних осіб :</w:t>
            </w:r>
          </w:p>
        </w:tc>
        <w:tc>
          <w:tcPr>
            <w:tcW w:w="1431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164A62" w:rsidRPr="00D17204" w:rsidTr="004E1CD1">
        <w:trPr>
          <w:trHeight w:val="724"/>
        </w:trPr>
        <w:tc>
          <w:tcPr>
            <w:tcW w:w="3569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D17204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- учасники антитерористичної операції, члени їх сімей та члени сімей загиблих під час участі в антитерористичній операції</w:t>
            </w:r>
            <w:r w:rsidRPr="00D1720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 – мешканці м. Тернополя -  за об»єкти житлової нерухомості;</w:t>
            </w:r>
          </w:p>
        </w:tc>
        <w:tc>
          <w:tcPr>
            <w:tcW w:w="1431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D1720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100</w:t>
            </w:r>
          </w:p>
        </w:tc>
      </w:tr>
      <w:tr w:rsidR="00164A62" w:rsidRPr="00D17204" w:rsidTr="004E1CD1">
        <w:trPr>
          <w:trHeight w:val="834"/>
        </w:trPr>
        <w:tc>
          <w:tcPr>
            <w:tcW w:w="3569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D17204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В частині об»єктів нежитлової нерухомості, що перебувають у власності  фізичних осіб:</w:t>
            </w:r>
          </w:p>
        </w:tc>
        <w:tc>
          <w:tcPr>
            <w:tcW w:w="1431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164A62" w:rsidRPr="00D17204" w:rsidTr="004E1CD1">
        <w:trPr>
          <w:trHeight w:val="703"/>
        </w:trPr>
        <w:tc>
          <w:tcPr>
            <w:tcW w:w="3569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D1720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присадибні ( господарські) будівлі - допоміжні нежитлові приміщення (сараї, хліви, гаражі, літні кухні, майстерні, вбиральні, погреби, навісит, котельні, бойлерні, трансформаторні підстанції, тощо)</w:t>
            </w:r>
          </w:p>
        </w:tc>
        <w:tc>
          <w:tcPr>
            <w:tcW w:w="1431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D1720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100</w:t>
            </w:r>
          </w:p>
        </w:tc>
      </w:tr>
      <w:tr w:rsidR="00164A62" w:rsidRPr="00D17204" w:rsidTr="004E1CD1">
        <w:trPr>
          <w:trHeight w:val="703"/>
        </w:trPr>
        <w:tc>
          <w:tcPr>
            <w:tcW w:w="3569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jc w:val="both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D17204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 xml:space="preserve">В частині об»єктів нежитлової нерухомості, що перебувають у власності юридичних  осіб: </w:t>
            </w:r>
          </w:p>
        </w:tc>
        <w:tc>
          <w:tcPr>
            <w:tcW w:w="1431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164A62" w:rsidRPr="00D17204" w:rsidTr="004E1CD1">
        <w:trPr>
          <w:trHeight w:val="1267"/>
        </w:trPr>
        <w:tc>
          <w:tcPr>
            <w:tcW w:w="3569" w:type="pct"/>
            <w:vAlign w:val="center"/>
          </w:tcPr>
          <w:p w:rsidR="00164A62" w:rsidRPr="00D17204" w:rsidRDefault="00164A62" w:rsidP="004E1CD1">
            <w:pPr>
              <w:pStyle w:val="a3"/>
              <w:tabs>
                <w:tab w:val="left" w:pos="600"/>
              </w:tabs>
              <w:spacing w:befor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D1720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місцеві благодійні організації, головною метою діяльності яких є здійснення благодійної діяльності в інтересах суспільства і потребуючої категорії осіб, засновниками яких є релігійні організації України, статути (положення) яких зареєстровані у встановленому законом порядку та міжнародні благодійні фонди;</w:t>
            </w:r>
          </w:p>
        </w:tc>
        <w:tc>
          <w:tcPr>
            <w:tcW w:w="1431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D1720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100</w:t>
            </w:r>
          </w:p>
        </w:tc>
      </w:tr>
      <w:tr w:rsidR="00164A62" w:rsidRPr="00D17204" w:rsidTr="004E1CD1">
        <w:trPr>
          <w:trHeight w:val="597"/>
        </w:trPr>
        <w:tc>
          <w:tcPr>
            <w:tcW w:w="3569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D1720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будинки – інтернати для людей похилого віку та інвалідів;</w:t>
            </w:r>
          </w:p>
        </w:tc>
        <w:tc>
          <w:tcPr>
            <w:tcW w:w="1431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D1720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100</w:t>
            </w:r>
          </w:p>
        </w:tc>
      </w:tr>
      <w:tr w:rsidR="00164A62" w:rsidRPr="00D17204" w:rsidTr="004E1CD1">
        <w:trPr>
          <w:trHeight w:val="366"/>
        </w:trPr>
        <w:tc>
          <w:tcPr>
            <w:tcW w:w="3569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D1720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будинки дитини та сирітські будинки;</w:t>
            </w:r>
          </w:p>
        </w:tc>
        <w:tc>
          <w:tcPr>
            <w:tcW w:w="1431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D1720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100</w:t>
            </w:r>
          </w:p>
        </w:tc>
      </w:tr>
      <w:tr w:rsidR="00164A62" w:rsidRPr="00D17204" w:rsidTr="004E1CD1">
        <w:trPr>
          <w:trHeight w:val="597"/>
        </w:trPr>
        <w:tc>
          <w:tcPr>
            <w:tcW w:w="3569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D1720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         центри соціальної адаптації;</w:t>
            </w:r>
          </w:p>
        </w:tc>
        <w:tc>
          <w:tcPr>
            <w:tcW w:w="1431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D1720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100</w:t>
            </w:r>
          </w:p>
        </w:tc>
      </w:tr>
      <w:tr w:rsidR="00164A62" w:rsidRPr="00D17204" w:rsidTr="004E1CD1">
        <w:trPr>
          <w:trHeight w:val="427"/>
        </w:trPr>
        <w:tc>
          <w:tcPr>
            <w:tcW w:w="3569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D1720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соціальні готелі (хоспіси);</w:t>
            </w:r>
          </w:p>
        </w:tc>
        <w:tc>
          <w:tcPr>
            <w:tcW w:w="1431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D1720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100</w:t>
            </w:r>
          </w:p>
        </w:tc>
      </w:tr>
      <w:tr w:rsidR="00164A62" w:rsidRPr="00D17204" w:rsidTr="004E1CD1">
        <w:trPr>
          <w:trHeight w:val="356"/>
        </w:trPr>
        <w:tc>
          <w:tcPr>
            <w:tcW w:w="3569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D1720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         будинки для переселенців</w:t>
            </w:r>
          </w:p>
        </w:tc>
        <w:tc>
          <w:tcPr>
            <w:tcW w:w="1431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D1720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100</w:t>
            </w:r>
          </w:p>
        </w:tc>
      </w:tr>
      <w:tr w:rsidR="00164A62" w:rsidRPr="00D17204" w:rsidTr="004E1CD1">
        <w:trPr>
          <w:trHeight w:val="607"/>
        </w:trPr>
        <w:tc>
          <w:tcPr>
            <w:tcW w:w="3569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D1720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         притулки для безхатченків;</w:t>
            </w:r>
          </w:p>
        </w:tc>
        <w:tc>
          <w:tcPr>
            <w:tcW w:w="1431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D1720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100</w:t>
            </w:r>
          </w:p>
        </w:tc>
      </w:tr>
      <w:tr w:rsidR="00164A62" w:rsidRPr="00D17204" w:rsidTr="004E1CD1">
        <w:trPr>
          <w:trHeight w:val="356"/>
        </w:trPr>
        <w:tc>
          <w:tcPr>
            <w:tcW w:w="3569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D1720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материнські та дитячі реабілітаційні центри;</w:t>
            </w:r>
          </w:p>
        </w:tc>
        <w:tc>
          <w:tcPr>
            <w:tcW w:w="1431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D1720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100</w:t>
            </w:r>
          </w:p>
        </w:tc>
      </w:tr>
      <w:tr w:rsidR="00164A62" w:rsidRPr="00D17204" w:rsidTr="004E1CD1">
        <w:trPr>
          <w:trHeight w:val="361"/>
        </w:trPr>
        <w:tc>
          <w:tcPr>
            <w:tcW w:w="3569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D1720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площі загального користування в багатоквартирних  житлових будинках.</w:t>
            </w:r>
          </w:p>
        </w:tc>
        <w:tc>
          <w:tcPr>
            <w:tcW w:w="1431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D1720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100</w:t>
            </w:r>
          </w:p>
        </w:tc>
      </w:tr>
      <w:tr w:rsidR="00164A62" w:rsidRPr="00D17204" w:rsidTr="004E1CD1">
        <w:trPr>
          <w:trHeight w:val="356"/>
        </w:trPr>
        <w:tc>
          <w:tcPr>
            <w:tcW w:w="3569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D1720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lastRenderedPageBreak/>
              <w:t>присадибні ( господарські) будівлі - допоміжні нежитлові приміщення (сараї, хліви, гаражі, літні кухні, майстерні, вбиральні, погреби, навіси, котельні, бойлерні, трансформаторні підстанції, тощо)</w:t>
            </w:r>
          </w:p>
        </w:tc>
        <w:tc>
          <w:tcPr>
            <w:tcW w:w="1431" w:type="pct"/>
            <w:vAlign w:val="center"/>
          </w:tcPr>
          <w:p w:rsidR="00164A62" w:rsidRPr="00D17204" w:rsidRDefault="00164A62" w:rsidP="004E1CD1">
            <w:pPr>
              <w:pStyle w:val="a3"/>
              <w:spacing w:befor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D1720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50</w:t>
            </w:r>
          </w:p>
        </w:tc>
      </w:tr>
    </w:tbl>
    <w:p w:rsidR="00164A62" w:rsidRPr="00D17204" w:rsidRDefault="00164A62" w:rsidP="00164A62">
      <w:pPr>
        <w:pStyle w:val="a3"/>
        <w:spacing w:before="0"/>
        <w:jc w:val="both"/>
        <w:rPr>
          <w:rFonts w:ascii="Times New Roman" w:hAnsi="Times New Roman"/>
          <w:noProof/>
          <w:sz w:val="22"/>
          <w:szCs w:val="22"/>
          <w:lang w:val="ru-RU"/>
        </w:rPr>
      </w:pPr>
    </w:p>
    <w:p w:rsidR="00164A62" w:rsidRPr="00D17204" w:rsidRDefault="00164A62" w:rsidP="00164A62">
      <w:pPr>
        <w:widowControl w:val="0"/>
        <w:spacing w:after="0" w:line="240" w:lineRule="auto"/>
        <w:rPr>
          <w:rFonts w:ascii="Times New Roman" w:hAnsi="Times New Roman"/>
          <w:noProof/>
        </w:rPr>
      </w:pPr>
      <w:r w:rsidRPr="00D17204">
        <w:rPr>
          <w:rFonts w:ascii="Times New Roman" w:hAnsi="Times New Roman"/>
          <w:lang w:val="uk-UA" w:eastAsia="ru-RU"/>
        </w:rPr>
        <w:t xml:space="preserve">  </w:t>
      </w:r>
      <w:r w:rsidRPr="00D17204">
        <w:rPr>
          <w:rFonts w:ascii="Times New Roman" w:hAnsi="Times New Roman"/>
          <w:noProof/>
        </w:rPr>
        <w:t>1 Пільги визначаються з урахуванням норм підпункту 12.3.7 пункту 12.3 статті 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164A62" w:rsidRPr="00D17204" w:rsidRDefault="00164A62" w:rsidP="00164A62">
      <w:pPr>
        <w:pStyle w:val="a3"/>
        <w:spacing w:before="0"/>
        <w:jc w:val="both"/>
        <w:rPr>
          <w:rFonts w:ascii="Times New Roman" w:hAnsi="Times New Roman"/>
          <w:noProof/>
          <w:sz w:val="22"/>
          <w:szCs w:val="22"/>
          <w:lang w:val="ru-RU"/>
        </w:rPr>
      </w:pPr>
    </w:p>
    <w:p w:rsidR="00164A62" w:rsidRPr="00D17204" w:rsidRDefault="00164A62" w:rsidP="00164A62">
      <w:pPr>
        <w:widowControl w:val="0"/>
        <w:spacing w:after="0" w:line="240" w:lineRule="auto"/>
        <w:rPr>
          <w:rFonts w:ascii="Times New Roman" w:hAnsi="Times New Roman"/>
          <w:noProof/>
          <w:lang w:val="uk-UA"/>
        </w:rPr>
      </w:pPr>
      <w:r w:rsidRPr="00D17204">
        <w:rPr>
          <w:rFonts w:ascii="Times New Roman" w:hAnsi="Times New Roman"/>
          <w:lang w:val="uk-UA" w:eastAsia="ru-RU"/>
        </w:rPr>
        <w:t xml:space="preserve">                                                         </w:t>
      </w:r>
      <w:proofErr w:type="spellStart"/>
      <w:r w:rsidRPr="00D17204">
        <w:rPr>
          <w:rFonts w:ascii="Times New Roman" w:hAnsi="Times New Roman"/>
          <w:lang w:eastAsia="ru-RU"/>
        </w:rPr>
        <w:t>Міський</w:t>
      </w:r>
      <w:proofErr w:type="spellEnd"/>
      <w:r w:rsidRPr="00D17204">
        <w:rPr>
          <w:rFonts w:ascii="Times New Roman" w:hAnsi="Times New Roman"/>
          <w:lang w:eastAsia="ru-RU"/>
        </w:rPr>
        <w:t xml:space="preserve"> голова                         </w:t>
      </w:r>
      <w:r w:rsidRPr="00D17204">
        <w:rPr>
          <w:rFonts w:ascii="Times New Roman" w:hAnsi="Times New Roman"/>
          <w:lang w:val="uk-UA" w:eastAsia="ru-RU"/>
        </w:rPr>
        <w:t xml:space="preserve">                     </w:t>
      </w:r>
      <w:r w:rsidRPr="00D17204">
        <w:rPr>
          <w:rFonts w:ascii="Times New Roman" w:hAnsi="Times New Roman"/>
          <w:lang w:eastAsia="ru-RU"/>
        </w:rPr>
        <w:t xml:space="preserve"> </w:t>
      </w:r>
      <w:r w:rsidRPr="00D17204">
        <w:rPr>
          <w:rFonts w:ascii="Times New Roman" w:hAnsi="Times New Roman"/>
          <w:lang w:val="uk-UA" w:eastAsia="ru-RU"/>
        </w:rPr>
        <w:t xml:space="preserve">       </w:t>
      </w:r>
      <w:r w:rsidRPr="00D17204">
        <w:rPr>
          <w:rFonts w:ascii="Times New Roman" w:hAnsi="Times New Roman"/>
          <w:lang w:eastAsia="ru-RU"/>
        </w:rPr>
        <w:t>С.</w:t>
      </w:r>
      <w:proofErr w:type="spellStart"/>
      <w:r w:rsidRPr="00D17204">
        <w:rPr>
          <w:rFonts w:ascii="Times New Roman" w:hAnsi="Times New Roman"/>
          <w:lang w:val="uk-UA" w:eastAsia="ru-RU"/>
        </w:rPr>
        <w:t>В.Надал</w:t>
      </w:r>
      <w:proofErr w:type="spellEnd"/>
    </w:p>
    <w:p w:rsidR="00164A62" w:rsidRPr="000602F2" w:rsidRDefault="00164A62" w:rsidP="00164A62"/>
    <w:p w:rsidR="0019621C" w:rsidRDefault="0019621C">
      <w:bookmarkStart w:id="0" w:name="_GoBack"/>
      <w:bookmarkEnd w:id="0"/>
    </w:p>
    <w:sectPr w:rsidR="001962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58"/>
    <w:rsid w:val="00164A62"/>
    <w:rsid w:val="0019621C"/>
    <w:rsid w:val="00D6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6BE74-4854-4716-8E89-E26389D1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A6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64A6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164A6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1890</Words>
  <Characters>1078</Characters>
  <Application>Microsoft Office Word</Application>
  <DocSecurity>0</DocSecurity>
  <Lines>8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Pogrizhuk</dc:creator>
  <cp:keywords/>
  <dc:description/>
  <cp:lastModifiedBy>Maria Pogrizhuk</cp:lastModifiedBy>
  <cp:revision>2</cp:revision>
  <dcterms:created xsi:type="dcterms:W3CDTF">2018-12-06T13:20:00Z</dcterms:created>
  <dcterms:modified xsi:type="dcterms:W3CDTF">2018-12-06T13:20:00Z</dcterms:modified>
</cp:coreProperties>
</file>