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92" w:rsidRDefault="00583392" w:rsidP="00583392">
      <w:pPr>
        <w:tabs>
          <w:tab w:val="left" w:pos="0"/>
        </w:tabs>
        <w:spacing w:after="0" w:line="240" w:lineRule="auto"/>
        <w:jc w:val="right"/>
        <w:rPr>
          <w:rFonts w:ascii="Times New Roman" w:hAnsi="Times New Roman"/>
          <w:sz w:val="24"/>
          <w:szCs w:val="24"/>
        </w:rPr>
      </w:pPr>
      <w:r>
        <w:rPr>
          <w:rFonts w:ascii="Times New Roman" w:hAnsi="Times New Roman"/>
          <w:sz w:val="24"/>
          <w:szCs w:val="24"/>
        </w:rPr>
        <w:t xml:space="preserve">Додаток </w:t>
      </w:r>
    </w:p>
    <w:p w:rsidR="00583392" w:rsidRDefault="00583392" w:rsidP="00583392">
      <w:pPr>
        <w:tabs>
          <w:tab w:val="left" w:pos="0"/>
        </w:tabs>
        <w:spacing w:after="0" w:line="240" w:lineRule="auto"/>
        <w:jc w:val="right"/>
        <w:rPr>
          <w:rFonts w:ascii="Times New Roman" w:hAnsi="Times New Roman"/>
          <w:sz w:val="24"/>
          <w:szCs w:val="24"/>
        </w:rPr>
      </w:pPr>
      <w:r>
        <w:rPr>
          <w:rFonts w:ascii="Times New Roman" w:hAnsi="Times New Roman"/>
          <w:sz w:val="24"/>
          <w:szCs w:val="24"/>
        </w:rPr>
        <w:t xml:space="preserve">до рішення виконавчого комітету </w:t>
      </w:r>
    </w:p>
    <w:p w:rsidR="00583392" w:rsidRDefault="00583392" w:rsidP="00583392">
      <w:pPr>
        <w:tabs>
          <w:tab w:val="left" w:pos="0"/>
        </w:tabs>
        <w:spacing w:after="0" w:line="240" w:lineRule="auto"/>
        <w:jc w:val="right"/>
        <w:rPr>
          <w:rFonts w:ascii="Times New Roman" w:hAnsi="Times New Roman"/>
          <w:sz w:val="24"/>
          <w:szCs w:val="24"/>
        </w:rPr>
      </w:pPr>
      <w:r>
        <w:rPr>
          <w:rFonts w:ascii="Times New Roman" w:hAnsi="Times New Roman"/>
          <w:sz w:val="24"/>
          <w:szCs w:val="24"/>
        </w:rPr>
        <w:t>від 12.12.2018р. № 984</w:t>
      </w:r>
    </w:p>
    <w:p w:rsidR="00583392" w:rsidRDefault="00583392" w:rsidP="00583392">
      <w:pPr>
        <w:tabs>
          <w:tab w:val="left" w:pos="0"/>
        </w:tabs>
        <w:spacing w:after="0" w:line="240" w:lineRule="auto"/>
        <w:jc w:val="center"/>
        <w:rPr>
          <w:rFonts w:ascii="Times New Roman" w:hAnsi="Times New Roman"/>
          <w:b/>
          <w:sz w:val="24"/>
          <w:szCs w:val="24"/>
        </w:rPr>
      </w:pPr>
    </w:p>
    <w:p w:rsidR="00583392" w:rsidRDefault="00583392" w:rsidP="00583392">
      <w:pPr>
        <w:tabs>
          <w:tab w:val="left" w:pos="0"/>
        </w:tabs>
        <w:spacing w:line="240" w:lineRule="auto"/>
        <w:jc w:val="center"/>
        <w:rPr>
          <w:rFonts w:ascii="Times New Roman" w:hAnsi="Times New Roman"/>
          <w:b/>
          <w:sz w:val="24"/>
          <w:szCs w:val="24"/>
        </w:rPr>
      </w:pPr>
      <w:r>
        <w:rPr>
          <w:rFonts w:ascii="Times New Roman" w:hAnsi="Times New Roman"/>
          <w:b/>
          <w:sz w:val="24"/>
          <w:szCs w:val="24"/>
        </w:rPr>
        <w:t>Звіт управління економіки, промисловості та праці</w:t>
      </w:r>
    </w:p>
    <w:p w:rsidR="00583392" w:rsidRDefault="00583392" w:rsidP="00583392">
      <w:pPr>
        <w:tabs>
          <w:tab w:val="left" w:pos="0"/>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Протягом 2018 року працівниками управління здійснювався </w:t>
      </w:r>
    </w:p>
    <w:p w:rsidR="00583392" w:rsidRDefault="00583392" w:rsidP="00583392">
      <w:pPr>
        <w:numPr>
          <w:ilvl w:val="0"/>
          <w:numId w:val="1"/>
        </w:numPr>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Контроль за виконанням соціально-економічних показників розвитку міста,зокрема:</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b/>
          <w:sz w:val="24"/>
          <w:szCs w:val="24"/>
          <w:lang w:val="uk-UA" w:eastAsia="ru-RU"/>
        </w:rPr>
        <w:t>здійснення економічного прогнозування</w:t>
      </w:r>
      <w:r>
        <w:rPr>
          <w:rFonts w:ascii="Times New Roman" w:hAnsi="Times New Roman"/>
          <w:sz w:val="24"/>
          <w:szCs w:val="24"/>
          <w:lang w:val="uk-UA" w:eastAsia="ru-RU"/>
        </w:rPr>
        <w:t>, координації та регулювання соціально-економічного розвитку міста, проведення єдиної державної економічної політики на території міської ради;</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b/>
          <w:sz w:val="24"/>
          <w:szCs w:val="24"/>
          <w:lang w:val="uk-UA" w:eastAsia="ru-RU"/>
        </w:rPr>
        <w:t>розробка щорічного</w:t>
      </w:r>
      <w:r>
        <w:rPr>
          <w:rFonts w:ascii="Times New Roman" w:hAnsi="Times New Roman"/>
          <w:sz w:val="24"/>
          <w:szCs w:val="24"/>
          <w:lang w:val="uk-UA" w:eastAsia="ru-RU"/>
        </w:rPr>
        <w:t xml:space="preserve"> проекту програми економічного і соціального розвитку міста, яка є основою для складання проекту бюджету міста;</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b/>
          <w:sz w:val="24"/>
          <w:szCs w:val="24"/>
          <w:lang w:val="uk-UA" w:eastAsia="ru-RU"/>
        </w:rPr>
        <w:t xml:space="preserve">щоквартальний </w:t>
      </w:r>
      <w:r>
        <w:rPr>
          <w:rFonts w:ascii="Times New Roman" w:hAnsi="Times New Roman"/>
          <w:sz w:val="24"/>
          <w:szCs w:val="24"/>
          <w:lang w:val="uk-UA" w:eastAsia="ru-RU"/>
        </w:rPr>
        <w:t>моніторинг виконання заходів та основних показників програми соціально-економічного розвитку міста;</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b/>
          <w:sz w:val="24"/>
          <w:szCs w:val="24"/>
          <w:lang w:val="uk-UA" w:eastAsia="ru-RU"/>
        </w:rPr>
        <w:t>щомісячний</w:t>
      </w:r>
      <w:r>
        <w:rPr>
          <w:rFonts w:ascii="Times New Roman" w:hAnsi="Times New Roman"/>
          <w:sz w:val="24"/>
          <w:szCs w:val="24"/>
          <w:lang w:val="uk-UA" w:eastAsia="ru-RU"/>
        </w:rPr>
        <w:t xml:space="preserve"> аналіз обсягу реалізованої продукції;</w:t>
      </w:r>
      <w:r>
        <w:rPr>
          <w:rFonts w:ascii="Times New Roman" w:hAnsi="Times New Roman"/>
          <w:b/>
          <w:sz w:val="24"/>
          <w:szCs w:val="24"/>
          <w:lang w:val="uk-UA" w:eastAsia="ru-RU"/>
        </w:rPr>
        <w:t>зовнішньоекономічної діяльності підприємств,експорту, імпорту;</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b/>
          <w:sz w:val="24"/>
          <w:szCs w:val="24"/>
          <w:lang w:val="uk-UA" w:eastAsia="ru-RU"/>
        </w:rPr>
        <w:t>введення в дію житла</w:t>
      </w:r>
      <w:r>
        <w:rPr>
          <w:rFonts w:ascii="Times New Roman" w:hAnsi="Times New Roman"/>
          <w:sz w:val="24"/>
          <w:szCs w:val="24"/>
          <w:lang w:val="uk-UA" w:eastAsia="ru-RU"/>
        </w:rPr>
        <w:t xml:space="preserve"> по місту та по проведених обсягах будівельний робіт; </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щомісячно </w:t>
      </w:r>
      <w:r>
        <w:rPr>
          <w:rFonts w:ascii="Times New Roman" w:hAnsi="Times New Roman"/>
          <w:b/>
          <w:sz w:val="24"/>
          <w:szCs w:val="24"/>
          <w:lang w:val="uk-UA" w:eastAsia="ru-RU"/>
        </w:rPr>
        <w:t>порівняльна характеристика</w:t>
      </w:r>
      <w:r>
        <w:rPr>
          <w:rFonts w:ascii="Times New Roman" w:hAnsi="Times New Roman"/>
          <w:sz w:val="24"/>
          <w:szCs w:val="24"/>
          <w:lang w:val="uk-UA" w:eastAsia="ru-RU"/>
        </w:rPr>
        <w:t xml:space="preserve"> по 30 основних показників м. Тернополя та Тернопільської області;</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щомісячно моніторинг показників </w:t>
      </w:r>
      <w:r>
        <w:rPr>
          <w:rFonts w:ascii="Times New Roman" w:hAnsi="Times New Roman"/>
          <w:b/>
          <w:sz w:val="24"/>
          <w:szCs w:val="24"/>
          <w:lang w:val="uk-UA" w:eastAsia="ru-RU"/>
        </w:rPr>
        <w:t>зайнятості населення</w:t>
      </w:r>
      <w:r>
        <w:rPr>
          <w:rFonts w:ascii="Times New Roman" w:hAnsi="Times New Roman"/>
          <w:sz w:val="24"/>
          <w:szCs w:val="24"/>
          <w:lang w:val="uk-UA" w:eastAsia="ru-RU"/>
        </w:rPr>
        <w:t>;</w:t>
      </w:r>
    </w:p>
    <w:p w:rsidR="00583392" w:rsidRDefault="00583392" w:rsidP="00583392">
      <w:pPr>
        <w:pStyle w:val="a3"/>
        <w:numPr>
          <w:ilvl w:val="0"/>
          <w:numId w:val="2"/>
        </w:numPr>
        <w:tabs>
          <w:tab w:val="left" w:pos="0"/>
          <w:tab w:val="left" w:pos="142"/>
          <w:tab w:val="left" w:pos="993"/>
        </w:tabs>
        <w:spacing w:after="0"/>
        <w:ind w:left="0" w:firstLine="709"/>
        <w:jc w:val="both"/>
        <w:rPr>
          <w:rFonts w:ascii="Times New Roman" w:hAnsi="Times New Roman"/>
          <w:sz w:val="24"/>
          <w:szCs w:val="24"/>
          <w:lang w:val="uk-UA" w:eastAsia="ru-RU"/>
        </w:rPr>
      </w:pPr>
      <w:r>
        <w:rPr>
          <w:rFonts w:ascii="Times New Roman" w:hAnsi="Times New Roman"/>
          <w:b/>
          <w:sz w:val="24"/>
          <w:szCs w:val="24"/>
          <w:lang w:val="uk-UA" w:eastAsia="ru-RU"/>
        </w:rPr>
        <w:t>координація</w:t>
      </w:r>
      <w:r>
        <w:rPr>
          <w:rFonts w:ascii="Times New Roman" w:hAnsi="Times New Roman"/>
          <w:sz w:val="24"/>
          <w:szCs w:val="24"/>
          <w:lang w:val="uk-UA" w:eastAsia="ru-RU"/>
        </w:rPr>
        <w:t xml:space="preserve"> роботи управлінь та відділів з підготовки проектів міських </w:t>
      </w:r>
      <w:r>
        <w:rPr>
          <w:rFonts w:ascii="Times New Roman" w:hAnsi="Times New Roman"/>
          <w:b/>
          <w:sz w:val="24"/>
          <w:szCs w:val="24"/>
          <w:lang w:val="uk-UA" w:eastAsia="ru-RU"/>
        </w:rPr>
        <w:t>цільових програм розвитку:</w:t>
      </w:r>
    </w:p>
    <w:p w:rsidR="00583392" w:rsidRDefault="00583392" w:rsidP="00583392">
      <w:pPr>
        <w:tabs>
          <w:tab w:val="left" w:pos="0"/>
          <w:tab w:val="left" w:pos="851"/>
          <w:tab w:val="left" w:pos="993"/>
        </w:tabs>
        <w:spacing w:before="120" w:after="0" w:line="240" w:lineRule="auto"/>
        <w:ind w:left="284"/>
        <w:jc w:val="both"/>
        <w:rPr>
          <w:rFonts w:ascii="Times New Roman" w:hAnsi="Times New Roman"/>
          <w:sz w:val="24"/>
          <w:szCs w:val="24"/>
        </w:rPr>
      </w:pPr>
      <w:r>
        <w:rPr>
          <w:rFonts w:ascii="Times New Roman" w:hAnsi="Times New Roman"/>
          <w:sz w:val="24"/>
          <w:szCs w:val="24"/>
          <w:u w:val="single"/>
        </w:rPr>
        <w:t>2.Координація роботи управлінь та відділів з підготовки проектів міських цільових програм розвитку.</w:t>
      </w:r>
    </w:p>
    <w:p w:rsidR="00583392" w:rsidRDefault="00583392" w:rsidP="00583392">
      <w:pPr>
        <w:tabs>
          <w:tab w:val="left" w:pos="0"/>
          <w:tab w:val="left" w:pos="851"/>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Підготовлено </w:t>
      </w:r>
      <w:r>
        <w:rPr>
          <w:rFonts w:ascii="Times New Roman" w:hAnsi="Times New Roman"/>
          <w:b/>
          <w:sz w:val="24"/>
          <w:szCs w:val="24"/>
        </w:rPr>
        <w:t>12 висновків</w:t>
      </w:r>
      <w:r>
        <w:rPr>
          <w:rFonts w:ascii="Times New Roman" w:hAnsi="Times New Roman"/>
          <w:sz w:val="24"/>
          <w:szCs w:val="24"/>
        </w:rPr>
        <w:t xml:space="preserve"> щодо доцільності розроблення проектів міських галузевих програм і можливості їх виконання та для внесення змін до 16</w:t>
      </w:r>
      <w:r>
        <w:rPr>
          <w:rFonts w:ascii="Times New Roman" w:hAnsi="Times New Roman"/>
          <w:b/>
          <w:sz w:val="24"/>
          <w:szCs w:val="24"/>
        </w:rPr>
        <w:t xml:space="preserve"> програм</w:t>
      </w:r>
      <w:r>
        <w:rPr>
          <w:rFonts w:ascii="Times New Roman" w:hAnsi="Times New Roman"/>
          <w:sz w:val="24"/>
          <w:szCs w:val="24"/>
        </w:rPr>
        <w:t>.</w:t>
      </w:r>
    </w:p>
    <w:tbl>
      <w:tblPr>
        <w:tblStyle w:val="a5"/>
        <w:tblW w:w="0" w:type="auto"/>
        <w:jc w:val="center"/>
        <w:tblInd w:w="0" w:type="dxa"/>
        <w:tblLayout w:type="fixed"/>
        <w:tblLook w:val="04A0"/>
      </w:tblPr>
      <w:tblGrid>
        <w:gridCol w:w="5307"/>
        <w:gridCol w:w="1115"/>
        <w:gridCol w:w="1153"/>
      </w:tblGrid>
      <w:tr w:rsidR="00583392" w:rsidTr="00583392">
        <w:trPr>
          <w:jc w:val="center"/>
        </w:trPr>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3392" w:rsidRPr="00583392" w:rsidRDefault="00583392">
            <w:pPr>
              <w:tabs>
                <w:tab w:val="left" w:pos="567"/>
                <w:tab w:val="left" w:pos="851"/>
              </w:tabs>
              <w:jc w:val="both"/>
              <w:rPr>
                <w:rFonts w:ascii="Times New Roman" w:hAnsi="Times New Roman"/>
                <w:sz w:val="23"/>
                <w:szCs w:val="23"/>
                <w:lang w:val="ru-RU"/>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b/>
                <w:sz w:val="23"/>
                <w:szCs w:val="23"/>
              </w:rPr>
            </w:pPr>
            <w:r>
              <w:rPr>
                <w:rFonts w:ascii="Times New Roman" w:hAnsi="Times New Roman"/>
                <w:b/>
                <w:sz w:val="23"/>
                <w:szCs w:val="23"/>
              </w:rPr>
              <w:t xml:space="preserve">2017 </w:t>
            </w:r>
            <w:proofErr w:type="spellStart"/>
            <w:r>
              <w:rPr>
                <w:rFonts w:ascii="Times New Roman" w:hAnsi="Times New Roman"/>
                <w:b/>
                <w:sz w:val="23"/>
                <w:szCs w:val="23"/>
              </w:rPr>
              <w:t>рік</w:t>
            </w:r>
            <w:proofErr w:type="spellEnd"/>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b/>
                <w:sz w:val="23"/>
                <w:szCs w:val="23"/>
              </w:rPr>
            </w:pPr>
            <w:r>
              <w:rPr>
                <w:rFonts w:ascii="Times New Roman" w:hAnsi="Times New Roman"/>
                <w:b/>
                <w:sz w:val="23"/>
                <w:szCs w:val="23"/>
              </w:rPr>
              <w:t xml:space="preserve">2018 </w:t>
            </w:r>
            <w:proofErr w:type="spellStart"/>
            <w:r>
              <w:rPr>
                <w:rFonts w:ascii="Times New Roman" w:hAnsi="Times New Roman"/>
                <w:b/>
                <w:sz w:val="23"/>
                <w:szCs w:val="23"/>
              </w:rPr>
              <w:t>рік</w:t>
            </w:r>
            <w:proofErr w:type="spellEnd"/>
          </w:p>
        </w:tc>
      </w:tr>
      <w:tr w:rsidR="00583392" w:rsidTr="00583392">
        <w:trPr>
          <w:jc w:val="center"/>
        </w:trPr>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Pr="00583392" w:rsidRDefault="00583392">
            <w:pPr>
              <w:tabs>
                <w:tab w:val="left" w:pos="567"/>
                <w:tab w:val="left" w:pos="851"/>
              </w:tabs>
              <w:rPr>
                <w:rFonts w:ascii="Times New Roman" w:hAnsi="Times New Roman"/>
                <w:sz w:val="23"/>
                <w:szCs w:val="23"/>
                <w:lang w:val="ru-RU"/>
              </w:rPr>
            </w:pPr>
            <w:r w:rsidRPr="00583392">
              <w:rPr>
                <w:rFonts w:ascii="Times New Roman" w:hAnsi="Times New Roman"/>
                <w:sz w:val="23"/>
                <w:szCs w:val="23"/>
                <w:lang w:val="ru-RU"/>
              </w:rPr>
              <w:t>Підготовлено висновки щодо доцільності розроблення проектів міських галузевих програм</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26</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12</w:t>
            </w:r>
          </w:p>
        </w:tc>
      </w:tr>
      <w:tr w:rsidR="00583392" w:rsidTr="00583392">
        <w:trPr>
          <w:jc w:val="center"/>
        </w:trPr>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Pr="00583392" w:rsidRDefault="00583392">
            <w:pPr>
              <w:tabs>
                <w:tab w:val="left" w:pos="567"/>
                <w:tab w:val="left" w:pos="851"/>
              </w:tabs>
              <w:rPr>
                <w:rFonts w:ascii="Times New Roman" w:hAnsi="Times New Roman"/>
                <w:sz w:val="23"/>
                <w:szCs w:val="23"/>
                <w:lang w:val="ru-RU"/>
              </w:rPr>
            </w:pPr>
            <w:r w:rsidRPr="00583392">
              <w:rPr>
                <w:rFonts w:ascii="Times New Roman" w:hAnsi="Times New Roman"/>
                <w:sz w:val="23"/>
                <w:szCs w:val="23"/>
                <w:lang w:val="ru-RU"/>
              </w:rPr>
              <w:t>Підготовлено висновки щодо внесення змін до міських галузевих програм</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20</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16</w:t>
            </w:r>
          </w:p>
        </w:tc>
      </w:tr>
    </w:tbl>
    <w:p w:rsidR="00583392" w:rsidRDefault="00583392" w:rsidP="00583392">
      <w:pPr>
        <w:tabs>
          <w:tab w:val="left" w:pos="567"/>
          <w:tab w:val="left" w:pos="851"/>
        </w:tabs>
        <w:spacing w:before="120" w:after="0" w:line="240" w:lineRule="auto"/>
        <w:ind w:firstLine="709"/>
        <w:jc w:val="both"/>
        <w:rPr>
          <w:rFonts w:ascii="Times New Roman" w:hAnsi="Times New Roman"/>
          <w:sz w:val="24"/>
          <w:szCs w:val="24"/>
        </w:rPr>
      </w:pPr>
      <w:r>
        <w:rPr>
          <w:rFonts w:ascii="Times New Roman" w:hAnsi="Times New Roman"/>
          <w:sz w:val="24"/>
          <w:szCs w:val="24"/>
        </w:rPr>
        <w:t>Щоквартально проводиться моніторинг виконання державних та міських програм. Інформація про кількість діючих програм, стан їх виконання і фінансування подається міському голові.</w:t>
      </w:r>
    </w:p>
    <w:p w:rsidR="00583392" w:rsidRDefault="00583392" w:rsidP="00583392">
      <w:pPr>
        <w:tabs>
          <w:tab w:val="left" w:pos="567"/>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Щоквартально інформація про виконання заходів галузевих програм міста оприлюднюється на офіційному сайті Тернопільської міської ради в розділі «Економіка» / «Галузеві Програми».</w:t>
      </w:r>
    </w:p>
    <w:p w:rsidR="00583392" w:rsidRDefault="00583392" w:rsidP="00583392">
      <w:pPr>
        <w:tabs>
          <w:tab w:val="left" w:pos="567"/>
          <w:tab w:val="left" w:pos="851"/>
          <w:tab w:val="left" w:pos="993"/>
        </w:tabs>
        <w:spacing w:before="120" w:after="0" w:line="240" w:lineRule="auto"/>
        <w:ind w:left="709"/>
        <w:jc w:val="both"/>
        <w:rPr>
          <w:rFonts w:ascii="Times New Roman" w:hAnsi="Times New Roman"/>
          <w:bCs/>
          <w:sz w:val="24"/>
          <w:szCs w:val="24"/>
          <w:u w:val="single"/>
        </w:rPr>
      </w:pPr>
      <w:r>
        <w:rPr>
          <w:rFonts w:ascii="Times New Roman" w:hAnsi="Times New Roman"/>
          <w:bCs/>
          <w:sz w:val="24"/>
          <w:szCs w:val="24"/>
          <w:u w:val="single"/>
        </w:rPr>
        <w:t>3.Контроль за погашенням заборгованості із виплати заробітної плати, своєчасною і не нижче визначеною державою мінімального розміру виплати заробітної плати та дотримання інших норм законодавства про працю на підприємствах, в установах та організаціях усіх форм власності</w:t>
      </w:r>
    </w:p>
    <w:p w:rsidR="00583392" w:rsidRDefault="00583392" w:rsidP="0058339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З початку 2018 року </w:t>
      </w:r>
      <w:r>
        <w:rPr>
          <w:rFonts w:ascii="Times New Roman" w:hAnsi="Times New Roman"/>
          <w:b/>
          <w:sz w:val="24"/>
          <w:szCs w:val="24"/>
        </w:rPr>
        <w:t>проведено 16 засідань</w:t>
      </w:r>
      <w:r>
        <w:rPr>
          <w:rFonts w:ascii="Times New Roman" w:hAnsi="Times New Roman"/>
          <w:sz w:val="24"/>
          <w:szCs w:val="24"/>
        </w:rPr>
        <w:t xml:space="preserve"> Тернопільської міської комісії щодо забезпечення погашення заборгованості із виплати заробітної плати, своєчасної сплати податків, внесення обов’язкових платежів та вивчення причин збиткової діяльності суб’єктів </w:t>
      </w:r>
      <w:proofErr w:type="spellStart"/>
      <w:r>
        <w:rPr>
          <w:rFonts w:ascii="Times New Roman" w:hAnsi="Times New Roman"/>
          <w:sz w:val="24"/>
          <w:szCs w:val="24"/>
        </w:rPr>
        <w:t>господарювання.</w:t>
      </w:r>
      <w:r>
        <w:rPr>
          <w:rFonts w:ascii="Times New Roman" w:hAnsi="Times New Roman"/>
          <w:bCs/>
          <w:sz w:val="24"/>
          <w:szCs w:val="24"/>
        </w:rPr>
        <w:t>Під</w:t>
      </w:r>
      <w:proofErr w:type="spellEnd"/>
      <w:r>
        <w:rPr>
          <w:rFonts w:ascii="Times New Roman" w:hAnsi="Times New Roman"/>
          <w:bCs/>
          <w:sz w:val="24"/>
          <w:szCs w:val="24"/>
        </w:rPr>
        <w:t xml:space="preserve"> час засідань розглянуто питання, що стосуються діяльності </w:t>
      </w:r>
      <w:r>
        <w:rPr>
          <w:rFonts w:ascii="Times New Roman" w:hAnsi="Times New Roman"/>
          <w:b/>
          <w:bCs/>
          <w:sz w:val="24"/>
          <w:szCs w:val="24"/>
        </w:rPr>
        <w:t>232 суб’єктів господарювання та заслухано звіти 87 керівників суб’єктів господарювання,</w:t>
      </w:r>
      <w:r>
        <w:rPr>
          <w:rFonts w:ascii="Times New Roman" w:hAnsi="Times New Roman"/>
          <w:bCs/>
          <w:sz w:val="24"/>
          <w:szCs w:val="24"/>
        </w:rPr>
        <w:t xml:space="preserve"> у тому числі з питань:</w:t>
      </w:r>
    </w:p>
    <w:p w:rsidR="00583392" w:rsidRDefault="00583392" w:rsidP="00583392">
      <w:pPr>
        <w:numPr>
          <w:ilvl w:val="0"/>
          <w:numId w:val="3"/>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заборгованості із виплати заробітної плати (розглянуто питання стосовно 15 суб’єктів господарювання). </w:t>
      </w:r>
      <w:r>
        <w:rPr>
          <w:rFonts w:ascii="Times New Roman" w:hAnsi="Times New Roman"/>
          <w:sz w:val="24"/>
          <w:szCs w:val="24"/>
        </w:rPr>
        <w:t>За результатами роботи комісії, 5 суб’єктів господарювання повністю погасили борги із виплати заробітної плати</w:t>
      </w:r>
      <w:r>
        <w:rPr>
          <w:rFonts w:ascii="Times New Roman" w:hAnsi="Times New Roman"/>
          <w:bCs/>
          <w:sz w:val="24"/>
          <w:szCs w:val="24"/>
        </w:rPr>
        <w:t>;</w:t>
      </w:r>
    </w:p>
    <w:p w:rsidR="00583392" w:rsidRDefault="00583392" w:rsidP="00583392">
      <w:pPr>
        <w:numPr>
          <w:ilvl w:val="0"/>
          <w:numId w:val="3"/>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заборгованості юридичних осіб та фізичних осіб-підприємців по платежах до міського бюджету (розглянуто питання стосовно 67 суб’єктів господарювання);</w:t>
      </w:r>
    </w:p>
    <w:p w:rsidR="00583392" w:rsidRDefault="00583392" w:rsidP="00583392">
      <w:pPr>
        <w:numPr>
          <w:ilvl w:val="0"/>
          <w:numId w:val="3"/>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заборгованості по платежах до Пенсійного фонду України (розглянуто питання стосовно 3 суб’єктів господарювання);</w:t>
      </w:r>
    </w:p>
    <w:p w:rsidR="00583392" w:rsidRDefault="00583392" w:rsidP="00583392">
      <w:pPr>
        <w:numPr>
          <w:ilvl w:val="0"/>
          <w:numId w:val="3"/>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заборгованості по сплаті ЄСВ (розглянуто питання стосовно 35 суб’єктів господарювання);</w:t>
      </w:r>
    </w:p>
    <w:p w:rsidR="00583392" w:rsidRDefault="00583392" w:rsidP="00583392">
      <w:pPr>
        <w:numPr>
          <w:ilvl w:val="0"/>
          <w:numId w:val="3"/>
        </w:numPr>
        <w:tabs>
          <w:tab w:val="left" w:pos="993"/>
        </w:tabs>
        <w:spacing w:after="120" w:line="240" w:lineRule="auto"/>
        <w:ind w:left="0" w:firstLine="709"/>
        <w:jc w:val="both"/>
        <w:rPr>
          <w:rFonts w:ascii="Times New Roman" w:hAnsi="Times New Roman"/>
          <w:bCs/>
          <w:sz w:val="24"/>
          <w:szCs w:val="24"/>
        </w:rPr>
      </w:pPr>
      <w:r>
        <w:rPr>
          <w:rFonts w:ascii="Times New Roman" w:hAnsi="Times New Roman"/>
          <w:bCs/>
          <w:sz w:val="24"/>
          <w:szCs w:val="24"/>
        </w:rPr>
        <w:t>розміру оплати праці найманих працівників та легалізації виплати заробітної плати (розглянуто питання стосовно 139 суб’єктів господарювання, у тому числі тих суб’єктів господарювання м. Тернополя, в яких згідно з поданою звітністю є застраховані особи із заробітною платою менше мінімальної). Надано рекомендації керівникам підприємств щодо уникнення порушень щодо оплати праці найманих працівників та надано роз’яснення щодо заповнення звітності про сплату ЄСВ.</w:t>
      </w:r>
    </w:p>
    <w:tbl>
      <w:tblPr>
        <w:tblStyle w:val="a5"/>
        <w:tblW w:w="0" w:type="auto"/>
        <w:jc w:val="center"/>
        <w:tblInd w:w="0" w:type="dxa"/>
        <w:tblLook w:val="04A0"/>
      </w:tblPr>
      <w:tblGrid>
        <w:gridCol w:w="1759"/>
        <w:gridCol w:w="1379"/>
        <w:gridCol w:w="1769"/>
        <w:gridCol w:w="1778"/>
        <w:gridCol w:w="1364"/>
        <w:gridCol w:w="1806"/>
      </w:tblGrid>
      <w:tr w:rsidR="00583392" w:rsidTr="00583392">
        <w:trPr>
          <w:jc w:val="center"/>
        </w:trPr>
        <w:tc>
          <w:tcPr>
            <w:tcW w:w="4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ind w:left="-40"/>
              <w:jc w:val="center"/>
              <w:rPr>
                <w:rFonts w:ascii="Times New Roman" w:hAnsi="Times New Roman"/>
                <w:b/>
                <w:bCs/>
                <w:sz w:val="23"/>
                <w:szCs w:val="23"/>
              </w:rPr>
            </w:pPr>
            <w:r>
              <w:rPr>
                <w:rFonts w:ascii="Times New Roman" w:hAnsi="Times New Roman"/>
                <w:b/>
                <w:bCs/>
                <w:sz w:val="23"/>
                <w:szCs w:val="23"/>
              </w:rPr>
              <w:t xml:space="preserve">2017 </w:t>
            </w:r>
            <w:proofErr w:type="spellStart"/>
            <w:r>
              <w:rPr>
                <w:rFonts w:ascii="Times New Roman" w:hAnsi="Times New Roman"/>
                <w:b/>
                <w:bCs/>
                <w:sz w:val="23"/>
                <w:szCs w:val="23"/>
              </w:rPr>
              <w:t>рік</w:t>
            </w:r>
            <w:proofErr w:type="spellEnd"/>
          </w:p>
        </w:tc>
        <w:tc>
          <w:tcPr>
            <w:tcW w:w="5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jc w:val="center"/>
              <w:rPr>
                <w:rFonts w:ascii="Times New Roman" w:hAnsi="Times New Roman"/>
                <w:b/>
                <w:bCs/>
                <w:sz w:val="23"/>
                <w:szCs w:val="23"/>
              </w:rPr>
            </w:pPr>
            <w:r>
              <w:rPr>
                <w:rFonts w:ascii="Times New Roman" w:hAnsi="Times New Roman"/>
                <w:b/>
                <w:bCs/>
                <w:sz w:val="23"/>
                <w:szCs w:val="23"/>
              </w:rPr>
              <w:t xml:space="preserve">2018 </w:t>
            </w:r>
            <w:proofErr w:type="spellStart"/>
            <w:r>
              <w:rPr>
                <w:rFonts w:ascii="Times New Roman" w:hAnsi="Times New Roman"/>
                <w:b/>
                <w:bCs/>
                <w:sz w:val="23"/>
                <w:szCs w:val="23"/>
              </w:rPr>
              <w:t>рік</w:t>
            </w:r>
            <w:proofErr w:type="spellEnd"/>
          </w:p>
        </w:tc>
      </w:tr>
      <w:tr w:rsidR="00583392" w:rsidTr="00583392">
        <w:trPr>
          <w:jc w:val="center"/>
        </w:trPr>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ind w:left="-40"/>
              <w:jc w:val="center"/>
              <w:rPr>
                <w:rFonts w:ascii="Times New Roman" w:hAnsi="Times New Roman"/>
                <w:bCs/>
                <w:sz w:val="23"/>
                <w:szCs w:val="23"/>
              </w:rPr>
            </w:pPr>
            <w:proofErr w:type="spellStart"/>
            <w:r>
              <w:rPr>
                <w:rFonts w:ascii="Times New Roman" w:hAnsi="Times New Roman"/>
                <w:bCs/>
                <w:sz w:val="23"/>
                <w:szCs w:val="23"/>
              </w:rPr>
              <w:t>Кількість</w:t>
            </w:r>
            <w:proofErr w:type="spellEnd"/>
            <w:r>
              <w:rPr>
                <w:rFonts w:ascii="Times New Roman" w:hAnsi="Times New Roman"/>
                <w:bCs/>
                <w:sz w:val="23"/>
                <w:szCs w:val="23"/>
              </w:rPr>
              <w:t xml:space="preserve"> </w:t>
            </w:r>
            <w:proofErr w:type="spellStart"/>
            <w:r>
              <w:rPr>
                <w:rFonts w:ascii="Times New Roman" w:hAnsi="Times New Roman"/>
                <w:bCs/>
                <w:sz w:val="23"/>
                <w:szCs w:val="23"/>
              </w:rPr>
              <w:t>засідань</w:t>
            </w:r>
            <w:proofErr w:type="spellEnd"/>
            <w:r>
              <w:rPr>
                <w:rFonts w:ascii="Times New Roman" w:hAnsi="Times New Roman"/>
                <w:bCs/>
                <w:sz w:val="23"/>
                <w:szCs w:val="23"/>
              </w:rPr>
              <w:t xml:space="preserve"> </w:t>
            </w:r>
            <w:proofErr w:type="spellStart"/>
            <w:r>
              <w:rPr>
                <w:rFonts w:ascii="Times New Roman" w:hAnsi="Times New Roman"/>
                <w:bCs/>
                <w:sz w:val="23"/>
                <w:szCs w:val="23"/>
              </w:rPr>
              <w:t>комісії</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ind w:left="-40"/>
              <w:jc w:val="center"/>
              <w:rPr>
                <w:rFonts w:ascii="Times New Roman" w:hAnsi="Times New Roman"/>
                <w:bCs/>
                <w:sz w:val="23"/>
                <w:szCs w:val="23"/>
              </w:rPr>
            </w:pPr>
            <w:proofErr w:type="spellStart"/>
            <w:r>
              <w:rPr>
                <w:rFonts w:ascii="Times New Roman" w:hAnsi="Times New Roman"/>
                <w:bCs/>
                <w:sz w:val="23"/>
                <w:szCs w:val="23"/>
              </w:rPr>
              <w:t>Розглянуто</w:t>
            </w:r>
            <w:proofErr w:type="spellEnd"/>
            <w:r>
              <w:rPr>
                <w:rFonts w:ascii="Times New Roman" w:hAnsi="Times New Roman"/>
                <w:bCs/>
                <w:sz w:val="23"/>
                <w:szCs w:val="23"/>
              </w:rPr>
              <w:t xml:space="preserve"> </w:t>
            </w:r>
            <w:proofErr w:type="spellStart"/>
            <w:r>
              <w:rPr>
                <w:rFonts w:ascii="Times New Roman" w:hAnsi="Times New Roman"/>
                <w:bCs/>
                <w:sz w:val="23"/>
                <w:szCs w:val="23"/>
              </w:rPr>
              <w:t>питань</w:t>
            </w:r>
            <w:proofErr w:type="spellEnd"/>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ind w:left="-40"/>
              <w:jc w:val="center"/>
              <w:rPr>
                <w:rFonts w:ascii="Times New Roman" w:hAnsi="Times New Roman"/>
                <w:bCs/>
                <w:sz w:val="23"/>
                <w:szCs w:val="23"/>
              </w:rPr>
            </w:pPr>
            <w:proofErr w:type="spellStart"/>
            <w:r>
              <w:rPr>
                <w:rFonts w:ascii="Times New Roman" w:hAnsi="Times New Roman"/>
                <w:bCs/>
                <w:sz w:val="23"/>
                <w:szCs w:val="23"/>
              </w:rPr>
              <w:t>Заслухано</w:t>
            </w:r>
            <w:proofErr w:type="spellEnd"/>
            <w:r>
              <w:rPr>
                <w:rFonts w:ascii="Times New Roman" w:hAnsi="Times New Roman"/>
                <w:bCs/>
                <w:sz w:val="23"/>
                <w:szCs w:val="23"/>
              </w:rPr>
              <w:t xml:space="preserve"> </w:t>
            </w:r>
            <w:proofErr w:type="spellStart"/>
            <w:r>
              <w:rPr>
                <w:rFonts w:ascii="Times New Roman" w:hAnsi="Times New Roman"/>
                <w:bCs/>
                <w:sz w:val="23"/>
                <w:szCs w:val="23"/>
              </w:rPr>
              <w:t>звіти</w:t>
            </w:r>
            <w:proofErr w:type="spellEnd"/>
            <w:r>
              <w:rPr>
                <w:rFonts w:ascii="Times New Roman" w:hAnsi="Times New Roman"/>
                <w:bCs/>
                <w:sz w:val="23"/>
                <w:szCs w:val="23"/>
              </w:rPr>
              <w:t xml:space="preserve"> </w:t>
            </w:r>
            <w:proofErr w:type="spellStart"/>
            <w:r>
              <w:rPr>
                <w:rFonts w:ascii="Times New Roman" w:hAnsi="Times New Roman"/>
                <w:bCs/>
                <w:sz w:val="23"/>
                <w:szCs w:val="23"/>
              </w:rPr>
              <w:t>керівників</w:t>
            </w:r>
            <w:proofErr w:type="spellEnd"/>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jc w:val="center"/>
              <w:rPr>
                <w:rFonts w:ascii="Times New Roman" w:hAnsi="Times New Roman"/>
                <w:bCs/>
                <w:sz w:val="23"/>
                <w:szCs w:val="23"/>
              </w:rPr>
            </w:pPr>
            <w:proofErr w:type="spellStart"/>
            <w:r>
              <w:rPr>
                <w:rFonts w:ascii="Times New Roman" w:hAnsi="Times New Roman"/>
                <w:bCs/>
                <w:sz w:val="23"/>
                <w:szCs w:val="23"/>
              </w:rPr>
              <w:t>Кількість</w:t>
            </w:r>
            <w:proofErr w:type="spellEnd"/>
            <w:r>
              <w:rPr>
                <w:rFonts w:ascii="Times New Roman" w:hAnsi="Times New Roman"/>
                <w:bCs/>
                <w:sz w:val="23"/>
                <w:szCs w:val="23"/>
              </w:rPr>
              <w:t xml:space="preserve"> </w:t>
            </w:r>
            <w:proofErr w:type="spellStart"/>
            <w:r>
              <w:rPr>
                <w:rFonts w:ascii="Times New Roman" w:hAnsi="Times New Roman"/>
                <w:bCs/>
                <w:sz w:val="23"/>
                <w:szCs w:val="23"/>
              </w:rPr>
              <w:t>засідань</w:t>
            </w:r>
            <w:proofErr w:type="spellEnd"/>
            <w:r>
              <w:rPr>
                <w:rFonts w:ascii="Times New Roman" w:hAnsi="Times New Roman"/>
                <w:bCs/>
                <w:sz w:val="23"/>
                <w:szCs w:val="23"/>
              </w:rPr>
              <w:t xml:space="preserve"> </w:t>
            </w:r>
            <w:proofErr w:type="spellStart"/>
            <w:r>
              <w:rPr>
                <w:rFonts w:ascii="Times New Roman" w:hAnsi="Times New Roman"/>
                <w:bCs/>
                <w:sz w:val="23"/>
                <w:szCs w:val="23"/>
              </w:rPr>
              <w:t>комісії</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jc w:val="center"/>
              <w:rPr>
                <w:rFonts w:ascii="Times New Roman" w:hAnsi="Times New Roman"/>
                <w:bCs/>
                <w:sz w:val="23"/>
                <w:szCs w:val="23"/>
              </w:rPr>
            </w:pPr>
            <w:proofErr w:type="spellStart"/>
            <w:r>
              <w:rPr>
                <w:rFonts w:ascii="Times New Roman" w:hAnsi="Times New Roman"/>
                <w:bCs/>
                <w:sz w:val="23"/>
                <w:szCs w:val="23"/>
              </w:rPr>
              <w:t>Розглянуто</w:t>
            </w:r>
            <w:proofErr w:type="spellEnd"/>
            <w:r>
              <w:rPr>
                <w:rFonts w:ascii="Times New Roman" w:hAnsi="Times New Roman"/>
                <w:bCs/>
                <w:sz w:val="23"/>
                <w:szCs w:val="23"/>
              </w:rPr>
              <w:t xml:space="preserve"> </w:t>
            </w:r>
            <w:proofErr w:type="spellStart"/>
            <w:r>
              <w:rPr>
                <w:rFonts w:ascii="Times New Roman" w:hAnsi="Times New Roman"/>
                <w:bCs/>
                <w:sz w:val="23"/>
                <w:szCs w:val="23"/>
              </w:rPr>
              <w:t>питань</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jc w:val="center"/>
              <w:rPr>
                <w:rFonts w:ascii="Times New Roman" w:hAnsi="Times New Roman"/>
                <w:bCs/>
                <w:sz w:val="23"/>
                <w:szCs w:val="23"/>
              </w:rPr>
            </w:pPr>
            <w:proofErr w:type="spellStart"/>
            <w:r>
              <w:rPr>
                <w:rFonts w:ascii="Times New Roman" w:hAnsi="Times New Roman"/>
                <w:bCs/>
                <w:sz w:val="23"/>
                <w:szCs w:val="23"/>
              </w:rPr>
              <w:t>Заслухано</w:t>
            </w:r>
            <w:proofErr w:type="spellEnd"/>
            <w:r>
              <w:rPr>
                <w:rFonts w:ascii="Times New Roman" w:hAnsi="Times New Roman"/>
                <w:bCs/>
                <w:sz w:val="23"/>
                <w:szCs w:val="23"/>
              </w:rPr>
              <w:t xml:space="preserve"> </w:t>
            </w:r>
            <w:proofErr w:type="spellStart"/>
            <w:r>
              <w:rPr>
                <w:rFonts w:ascii="Times New Roman" w:hAnsi="Times New Roman"/>
                <w:bCs/>
                <w:sz w:val="23"/>
                <w:szCs w:val="23"/>
              </w:rPr>
              <w:t>звіти</w:t>
            </w:r>
            <w:proofErr w:type="spellEnd"/>
            <w:r>
              <w:rPr>
                <w:rFonts w:ascii="Times New Roman" w:hAnsi="Times New Roman"/>
                <w:bCs/>
                <w:sz w:val="23"/>
                <w:szCs w:val="23"/>
              </w:rPr>
              <w:t xml:space="preserve"> </w:t>
            </w:r>
            <w:proofErr w:type="spellStart"/>
            <w:r>
              <w:rPr>
                <w:rFonts w:ascii="Times New Roman" w:hAnsi="Times New Roman"/>
                <w:bCs/>
                <w:sz w:val="23"/>
                <w:szCs w:val="23"/>
              </w:rPr>
              <w:t>керівників</w:t>
            </w:r>
            <w:proofErr w:type="spellEnd"/>
          </w:p>
        </w:tc>
      </w:tr>
      <w:tr w:rsidR="00583392" w:rsidTr="00583392">
        <w:trPr>
          <w:jc w:val="center"/>
        </w:trPr>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ind w:left="-40"/>
              <w:jc w:val="center"/>
              <w:rPr>
                <w:rFonts w:ascii="Times New Roman" w:hAnsi="Times New Roman"/>
                <w:bCs/>
                <w:sz w:val="23"/>
                <w:szCs w:val="23"/>
              </w:rPr>
            </w:pPr>
            <w:r>
              <w:rPr>
                <w:rFonts w:ascii="Times New Roman" w:hAnsi="Times New Roman"/>
                <w:bCs/>
                <w:sz w:val="23"/>
                <w:szCs w:val="23"/>
              </w:rPr>
              <w:t>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ind w:left="-40"/>
              <w:jc w:val="center"/>
              <w:rPr>
                <w:rFonts w:ascii="Times New Roman" w:hAnsi="Times New Roman"/>
                <w:bCs/>
                <w:sz w:val="23"/>
                <w:szCs w:val="23"/>
              </w:rPr>
            </w:pPr>
            <w:r>
              <w:rPr>
                <w:rFonts w:ascii="Times New Roman" w:hAnsi="Times New Roman"/>
                <w:bCs/>
                <w:sz w:val="23"/>
                <w:szCs w:val="23"/>
              </w:rPr>
              <w:t>99</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ind w:left="-40"/>
              <w:jc w:val="center"/>
              <w:rPr>
                <w:rFonts w:ascii="Times New Roman" w:hAnsi="Times New Roman"/>
                <w:bCs/>
                <w:sz w:val="23"/>
                <w:szCs w:val="23"/>
              </w:rPr>
            </w:pPr>
            <w:r>
              <w:rPr>
                <w:rFonts w:ascii="Times New Roman" w:hAnsi="Times New Roman"/>
                <w:bCs/>
                <w:sz w:val="23"/>
                <w:szCs w:val="23"/>
              </w:rPr>
              <w:t>55</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jc w:val="center"/>
              <w:rPr>
                <w:rFonts w:ascii="Times New Roman" w:hAnsi="Times New Roman"/>
                <w:bCs/>
                <w:sz w:val="23"/>
                <w:szCs w:val="23"/>
              </w:rPr>
            </w:pPr>
            <w:r>
              <w:rPr>
                <w:rFonts w:ascii="Times New Roman" w:hAnsi="Times New Roman"/>
                <w:bCs/>
                <w:sz w:val="23"/>
                <w:szCs w:val="23"/>
              </w:rPr>
              <w:t>16</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jc w:val="center"/>
              <w:rPr>
                <w:rFonts w:ascii="Times New Roman" w:hAnsi="Times New Roman"/>
                <w:bCs/>
                <w:sz w:val="23"/>
                <w:szCs w:val="23"/>
              </w:rPr>
            </w:pPr>
            <w:r>
              <w:rPr>
                <w:rFonts w:ascii="Times New Roman" w:hAnsi="Times New Roman"/>
                <w:bCs/>
                <w:sz w:val="23"/>
                <w:szCs w:val="23"/>
              </w:rPr>
              <w:t>232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jc w:val="center"/>
              <w:rPr>
                <w:rFonts w:ascii="Times New Roman" w:hAnsi="Times New Roman"/>
                <w:bCs/>
                <w:sz w:val="23"/>
                <w:szCs w:val="23"/>
              </w:rPr>
            </w:pPr>
            <w:r>
              <w:rPr>
                <w:rFonts w:ascii="Times New Roman" w:hAnsi="Times New Roman"/>
                <w:bCs/>
                <w:sz w:val="23"/>
                <w:szCs w:val="23"/>
              </w:rPr>
              <w:t>87</w:t>
            </w:r>
          </w:p>
        </w:tc>
      </w:tr>
    </w:tbl>
    <w:p w:rsidR="00583392" w:rsidRDefault="00583392" w:rsidP="00583392">
      <w:pPr>
        <w:spacing w:before="120" w:after="0" w:line="240" w:lineRule="auto"/>
        <w:ind w:firstLine="709"/>
        <w:jc w:val="both"/>
        <w:rPr>
          <w:rFonts w:ascii="Times New Roman" w:hAnsi="Times New Roman"/>
          <w:bCs/>
          <w:sz w:val="24"/>
          <w:szCs w:val="24"/>
        </w:rPr>
      </w:pPr>
      <w:r>
        <w:rPr>
          <w:rFonts w:ascii="Times New Roman" w:hAnsi="Times New Roman"/>
          <w:sz w:val="24"/>
          <w:szCs w:val="24"/>
        </w:rPr>
        <w:t xml:space="preserve">Загалом з початку 2018 року проведено </w:t>
      </w:r>
      <w:r>
        <w:rPr>
          <w:rFonts w:ascii="Times New Roman" w:hAnsi="Times New Roman"/>
          <w:b/>
          <w:sz w:val="24"/>
          <w:szCs w:val="24"/>
        </w:rPr>
        <w:t xml:space="preserve">16 </w:t>
      </w:r>
      <w:proofErr w:type="spellStart"/>
      <w:r>
        <w:rPr>
          <w:rFonts w:ascii="Times New Roman" w:hAnsi="Times New Roman"/>
          <w:b/>
          <w:sz w:val="24"/>
          <w:szCs w:val="24"/>
        </w:rPr>
        <w:t>засідань</w:t>
      </w:r>
      <w:r>
        <w:rPr>
          <w:rFonts w:ascii="Times New Roman" w:hAnsi="Times New Roman"/>
          <w:bCs/>
          <w:sz w:val="24"/>
          <w:szCs w:val="24"/>
        </w:rPr>
        <w:t>комісії</w:t>
      </w:r>
      <w:proofErr w:type="spellEnd"/>
      <w:r>
        <w:rPr>
          <w:rFonts w:ascii="Times New Roman" w:hAnsi="Times New Roman"/>
          <w:bCs/>
          <w:sz w:val="24"/>
          <w:szCs w:val="24"/>
        </w:rPr>
        <w:t xml:space="preserve"> щодо погашення заборгованості із виплати заробітної плати, своєчасної сплати податків, внесення обов’язкових платежів та вивчення причин збиткової діяльності суб’єктів господарювання, під час яких розглянуто питання, що стосуються діяльності </w:t>
      </w:r>
      <w:r>
        <w:rPr>
          <w:rFonts w:ascii="Times New Roman" w:hAnsi="Times New Roman"/>
          <w:b/>
          <w:bCs/>
          <w:sz w:val="24"/>
          <w:szCs w:val="24"/>
        </w:rPr>
        <w:t>232 суб’єктів господарювання</w:t>
      </w:r>
      <w:r>
        <w:rPr>
          <w:rFonts w:ascii="Times New Roman" w:hAnsi="Times New Roman"/>
          <w:bCs/>
          <w:sz w:val="24"/>
          <w:szCs w:val="24"/>
        </w:rPr>
        <w:t xml:space="preserve"> та заслухано </w:t>
      </w:r>
      <w:r>
        <w:rPr>
          <w:rFonts w:ascii="Times New Roman" w:hAnsi="Times New Roman"/>
          <w:b/>
          <w:bCs/>
          <w:sz w:val="24"/>
          <w:szCs w:val="24"/>
        </w:rPr>
        <w:t>звіти 93 керівника</w:t>
      </w:r>
      <w:r>
        <w:rPr>
          <w:rFonts w:ascii="Times New Roman" w:hAnsi="Times New Roman"/>
          <w:bCs/>
          <w:sz w:val="24"/>
          <w:szCs w:val="24"/>
        </w:rPr>
        <w:t xml:space="preserve"> суб’єктів господарювання.</w:t>
      </w:r>
    </w:p>
    <w:p w:rsidR="00583392" w:rsidRDefault="00583392" w:rsidP="00583392">
      <w:pPr>
        <w:spacing w:after="0" w:line="240" w:lineRule="auto"/>
        <w:ind w:firstLine="709"/>
        <w:jc w:val="both"/>
        <w:rPr>
          <w:rFonts w:ascii="Times New Roman" w:hAnsi="Times New Roman"/>
          <w:bCs/>
          <w:sz w:val="24"/>
          <w:szCs w:val="24"/>
        </w:rPr>
      </w:pPr>
      <w:r>
        <w:rPr>
          <w:rFonts w:ascii="Times New Roman" w:hAnsi="Times New Roman"/>
          <w:bCs/>
          <w:sz w:val="24"/>
          <w:szCs w:val="24"/>
        </w:rPr>
        <w:t>За результатами роботи комісій:</w:t>
      </w:r>
    </w:p>
    <w:p w:rsidR="00583392" w:rsidRDefault="00583392" w:rsidP="00583392">
      <w:pPr>
        <w:numPr>
          <w:ilvl w:val="0"/>
          <w:numId w:val="4"/>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підприємства (6) – ТОВ «Санаторій «Десна», ТДНТП «Промінь», ПП ТФ «Будівельник», ТОВ «Т-ПС», ТОВ «</w:t>
      </w:r>
      <w:proofErr w:type="spellStart"/>
      <w:r>
        <w:rPr>
          <w:rFonts w:ascii="Times New Roman" w:hAnsi="Times New Roman"/>
          <w:bCs/>
          <w:sz w:val="24"/>
          <w:szCs w:val="24"/>
        </w:rPr>
        <w:t>Зооцентр</w:t>
      </w:r>
      <w:proofErr w:type="spellEnd"/>
      <w:r>
        <w:rPr>
          <w:rFonts w:ascii="Times New Roman" w:hAnsi="Times New Roman"/>
          <w:bCs/>
          <w:sz w:val="24"/>
          <w:szCs w:val="24"/>
        </w:rPr>
        <w:t xml:space="preserve">», </w:t>
      </w:r>
      <w:proofErr w:type="spellStart"/>
      <w:r>
        <w:rPr>
          <w:rFonts w:ascii="Times New Roman" w:hAnsi="Times New Roman"/>
          <w:bCs/>
          <w:sz w:val="24"/>
          <w:szCs w:val="24"/>
        </w:rPr>
        <w:t>ТзОВ</w:t>
      </w:r>
      <w:proofErr w:type="spellEnd"/>
      <w:r>
        <w:rPr>
          <w:rFonts w:ascii="Times New Roman" w:hAnsi="Times New Roman"/>
          <w:bCs/>
          <w:sz w:val="24"/>
          <w:szCs w:val="24"/>
        </w:rPr>
        <w:t xml:space="preserve"> «СУ-470 Електромонтаж» повністю погасили заборгованість із виплати заробітної плати;</w:t>
      </w:r>
    </w:p>
    <w:p w:rsidR="00583392" w:rsidRDefault="00583392" w:rsidP="00583392">
      <w:pPr>
        <w:numPr>
          <w:ilvl w:val="0"/>
          <w:numId w:val="4"/>
        </w:numPr>
        <w:tabs>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заборгованість по страхових внесках підприємств м. Тернополя зменшилась на 511,3 </w:t>
      </w:r>
      <w:proofErr w:type="spellStart"/>
      <w:r>
        <w:rPr>
          <w:rFonts w:ascii="Times New Roman" w:hAnsi="Times New Roman"/>
          <w:sz w:val="24"/>
          <w:szCs w:val="24"/>
        </w:rPr>
        <w:t>тис.грн</w:t>
      </w:r>
      <w:proofErr w:type="spellEnd"/>
      <w:r>
        <w:rPr>
          <w:rFonts w:ascii="Times New Roman" w:hAnsi="Times New Roman"/>
          <w:sz w:val="24"/>
          <w:szCs w:val="24"/>
        </w:rPr>
        <w:t>;</w:t>
      </w:r>
    </w:p>
    <w:p w:rsidR="00583392" w:rsidRDefault="00583392" w:rsidP="00583392">
      <w:pPr>
        <w:numPr>
          <w:ilvl w:val="0"/>
          <w:numId w:val="4"/>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заборгованість по сплаті до міського бюджету, розглянутих на комісії суб’єктів господарювання, скоротилась на 7 534,1 </w:t>
      </w:r>
      <w:proofErr w:type="spellStart"/>
      <w:r>
        <w:rPr>
          <w:rFonts w:ascii="Times New Roman" w:hAnsi="Times New Roman"/>
          <w:bCs/>
          <w:sz w:val="24"/>
          <w:szCs w:val="24"/>
        </w:rPr>
        <w:t>тис.грн</w:t>
      </w:r>
      <w:proofErr w:type="spellEnd"/>
      <w:r>
        <w:rPr>
          <w:rFonts w:ascii="Times New Roman" w:hAnsi="Times New Roman"/>
          <w:bCs/>
          <w:sz w:val="24"/>
          <w:szCs w:val="24"/>
        </w:rPr>
        <w:t>.</w:t>
      </w:r>
    </w:p>
    <w:p w:rsidR="00583392" w:rsidRDefault="00583392" w:rsidP="00583392">
      <w:pPr>
        <w:tabs>
          <w:tab w:val="left" w:pos="567"/>
          <w:tab w:val="left" w:pos="851"/>
          <w:tab w:val="left" w:pos="993"/>
        </w:tabs>
        <w:spacing w:before="120" w:after="0" w:line="240" w:lineRule="auto"/>
        <w:ind w:left="284"/>
        <w:jc w:val="both"/>
        <w:rPr>
          <w:rFonts w:ascii="Times New Roman" w:hAnsi="Times New Roman"/>
          <w:sz w:val="24"/>
          <w:szCs w:val="24"/>
          <w:u w:val="single"/>
        </w:rPr>
      </w:pPr>
      <w:r>
        <w:rPr>
          <w:rFonts w:ascii="Times New Roman" w:hAnsi="Times New Roman"/>
          <w:sz w:val="24"/>
          <w:szCs w:val="24"/>
          <w:u w:val="single"/>
        </w:rPr>
        <w:t xml:space="preserve">4.Робота щодо </w:t>
      </w:r>
      <w:proofErr w:type="spellStart"/>
      <w:r>
        <w:rPr>
          <w:rFonts w:ascii="Times New Roman" w:hAnsi="Times New Roman"/>
          <w:sz w:val="24"/>
          <w:szCs w:val="24"/>
          <w:u w:val="single"/>
        </w:rPr>
        <w:t>детінізації</w:t>
      </w:r>
      <w:proofErr w:type="spellEnd"/>
      <w:r>
        <w:rPr>
          <w:rFonts w:ascii="Times New Roman" w:hAnsi="Times New Roman"/>
          <w:sz w:val="24"/>
          <w:szCs w:val="24"/>
          <w:u w:val="single"/>
        </w:rPr>
        <w:t xml:space="preserve"> доходів та відносин у сфері зайнятості населення м. Тернополя.</w:t>
      </w:r>
    </w:p>
    <w:p w:rsidR="00583392" w:rsidRDefault="00583392" w:rsidP="00583392">
      <w:pPr>
        <w:spacing w:after="0" w:line="240" w:lineRule="auto"/>
        <w:ind w:firstLine="709"/>
        <w:jc w:val="both"/>
        <w:rPr>
          <w:rFonts w:ascii="Times New Roman" w:hAnsi="Times New Roman"/>
          <w:sz w:val="24"/>
          <w:szCs w:val="24"/>
        </w:rPr>
      </w:pPr>
      <w:r>
        <w:rPr>
          <w:rFonts w:ascii="Times New Roman" w:hAnsi="Times New Roman"/>
          <w:sz w:val="24"/>
          <w:szCs w:val="24"/>
        </w:rPr>
        <w:t xml:space="preserve">З метою реалізації делегованих повноважень, зазначених у статті 34 Закону України «Про місцеве самоврядування», в частині здійснення контролю за додержанням законодавства про працю, інспектори праці управління економіки, промисловості та праці за погодженням з Управлінням </w:t>
      </w:r>
      <w:proofErr w:type="spellStart"/>
      <w:r>
        <w:rPr>
          <w:rFonts w:ascii="Times New Roman" w:hAnsi="Times New Roman"/>
          <w:sz w:val="24"/>
          <w:szCs w:val="24"/>
        </w:rPr>
        <w:t>Держпраці</w:t>
      </w:r>
      <w:proofErr w:type="spellEnd"/>
      <w:r>
        <w:rPr>
          <w:rFonts w:ascii="Times New Roman" w:hAnsi="Times New Roman"/>
          <w:sz w:val="24"/>
          <w:szCs w:val="24"/>
        </w:rPr>
        <w:t xml:space="preserve"> у Тернопільській області, в 2018році брали участь у інспекційних відвідуваннях, що проводились управлінням </w:t>
      </w:r>
      <w:proofErr w:type="spellStart"/>
      <w:r>
        <w:rPr>
          <w:rFonts w:ascii="Times New Roman" w:hAnsi="Times New Roman"/>
          <w:sz w:val="24"/>
          <w:szCs w:val="24"/>
        </w:rPr>
        <w:t>Держпраці</w:t>
      </w:r>
      <w:proofErr w:type="spellEnd"/>
      <w:r>
        <w:rPr>
          <w:rFonts w:ascii="Times New Roman" w:hAnsi="Times New Roman"/>
          <w:sz w:val="24"/>
          <w:szCs w:val="24"/>
        </w:rPr>
        <w:t xml:space="preserve"> у Тернопільській області в порядку, визначеному постановою КМУ від 26.03.2017р. № 295 «Деякі питання реалізації статті 259 Кодексу законів про працю України та статті 34 Закону України «Про місцеве самоврядування в Україні».</w:t>
      </w:r>
    </w:p>
    <w:p w:rsidR="00583392" w:rsidRDefault="00583392" w:rsidP="00583392">
      <w:pPr>
        <w:spacing w:after="0" w:line="240" w:lineRule="auto"/>
        <w:ind w:firstLine="709"/>
        <w:jc w:val="both"/>
        <w:rPr>
          <w:rFonts w:ascii="Times New Roman" w:hAnsi="Times New Roman"/>
          <w:sz w:val="24"/>
          <w:szCs w:val="24"/>
        </w:rPr>
      </w:pPr>
      <w:r>
        <w:rPr>
          <w:rFonts w:ascii="Times New Roman" w:hAnsi="Times New Roman"/>
          <w:sz w:val="24"/>
          <w:szCs w:val="24"/>
        </w:rPr>
        <w:t xml:space="preserve">З 5 жовтня 2018рокувідповідно до розпорядження КМУ від 05.09.2018р. №649-р «Про заходи, спрямовані на </w:t>
      </w:r>
      <w:proofErr w:type="spellStart"/>
      <w:r>
        <w:rPr>
          <w:rFonts w:ascii="Times New Roman" w:hAnsi="Times New Roman"/>
          <w:sz w:val="24"/>
          <w:szCs w:val="24"/>
        </w:rPr>
        <w:t>детінізацію</w:t>
      </w:r>
      <w:proofErr w:type="spellEnd"/>
      <w:r>
        <w:rPr>
          <w:rFonts w:ascii="Times New Roman" w:hAnsi="Times New Roman"/>
          <w:sz w:val="24"/>
          <w:szCs w:val="24"/>
        </w:rPr>
        <w:t xml:space="preserve"> відносин у сфері зайнятості населення» здійснюються комплексні інспекційні відвідування та невиїзні інспектування разом з органами ГУ ДФС у Тернопільській області та Управління </w:t>
      </w:r>
      <w:proofErr w:type="spellStart"/>
      <w:r>
        <w:rPr>
          <w:rFonts w:ascii="Times New Roman" w:hAnsi="Times New Roman"/>
          <w:sz w:val="24"/>
          <w:szCs w:val="24"/>
        </w:rPr>
        <w:t>Держпраці</w:t>
      </w:r>
      <w:proofErr w:type="spellEnd"/>
      <w:r>
        <w:rPr>
          <w:rFonts w:ascii="Times New Roman" w:hAnsi="Times New Roman"/>
          <w:sz w:val="24"/>
          <w:szCs w:val="24"/>
        </w:rPr>
        <w:t xml:space="preserve"> у Тернопільській області.</w:t>
      </w:r>
    </w:p>
    <w:p w:rsidR="00583392" w:rsidRDefault="00583392" w:rsidP="0058339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Станом на 23.11.2018р. інспектори праці управління економіки, промисловості та праці міської ради разом з інспекторами Управління </w:t>
      </w:r>
      <w:proofErr w:type="spellStart"/>
      <w:r>
        <w:rPr>
          <w:rFonts w:ascii="Times New Roman" w:hAnsi="Times New Roman"/>
          <w:sz w:val="24"/>
          <w:szCs w:val="24"/>
        </w:rPr>
        <w:t>Держпраці</w:t>
      </w:r>
      <w:proofErr w:type="spellEnd"/>
      <w:r>
        <w:rPr>
          <w:rFonts w:ascii="Times New Roman" w:hAnsi="Times New Roman"/>
          <w:sz w:val="24"/>
          <w:szCs w:val="24"/>
        </w:rPr>
        <w:t xml:space="preserve"> у Тернопільській області взяли участь в проведенні 72 інспекційних відвідувань суб’єктів господарювання м. Тернополя, за результатами яких:</w:t>
      </w:r>
    </w:p>
    <w:p w:rsidR="00583392" w:rsidRDefault="00583392" w:rsidP="00583392">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виявлено 92 фактів використання найманої праці без належного оформлення трудових відносин. Робочі місця легалізовані, з працівниками укладено трудові договори, сплачуються відповідні податки;</w:t>
      </w:r>
    </w:p>
    <w:p w:rsidR="00583392" w:rsidRDefault="00583392" w:rsidP="00583392">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складено 66 адміністративних протоколів за статтею 41 </w:t>
      </w:r>
      <w:proofErr w:type="spellStart"/>
      <w:r>
        <w:rPr>
          <w:rFonts w:ascii="Times New Roman" w:hAnsi="Times New Roman"/>
          <w:sz w:val="24"/>
          <w:szCs w:val="24"/>
        </w:rPr>
        <w:t>КУпАП</w:t>
      </w:r>
      <w:proofErr w:type="spellEnd"/>
      <w:r>
        <w:rPr>
          <w:rFonts w:ascii="Times New Roman" w:hAnsi="Times New Roman"/>
          <w:sz w:val="24"/>
          <w:szCs w:val="24"/>
        </w:rPr>
        <w:t xml:space="preserve">, які направлені для розгляду в Тернопільський </w:t>
      </w:r>
      <w:proofErr w:type="spellStart"/>
      <w:r>
        <w:rPr>
          <w:rFonts w:ascii="Times New Roman" w:hAnsi="Times New Roman"/>
          <w:sz w:val="24"/>
          <w:szCs w:val="24"/>
        </w:rPr>
        <w:t>міськрайонний</w:t>
      </w:r>
      <w:proofErr w:type="spellEnd"/>
      <w:r>
        <w:rPr>
          <w:rFonts w:ascii="Times New Roman" w:hAnsi="Times New Roman"/>
          <w:sz w:val="24"/>
          <w:szCs w:val="24"/>
        </w:rPr>
        <w:t xml:space="preserve"> суд;</w:t>
      </w:r>
    </w:p>
    <w:p w:rsidR="00583392" w:rsidRDefault="00583392" w:rsidP="00583392">
      <w:pPr>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зроблено 56 подань про застосування штрафних санкцій за статтею 265 </w:t>
      </w:r>
      <w:proofErr w:type="spellStart"/>
      <w:r>
        <w:rPr>
          <w:rFonts w:ascii="Times New Roman" w:hAnsi="Times New Roman"/>
          <w:sz w:val="24"/>
          <w:szCs w:val="24"/>
        </w:rPr>
        <w:t>КЗпП</w:t>
      </w:r>
      <w:proofErr w:type="spellEnd"/>
      <w:r>
        <w:rPr>
          <w:rFonts w:ascii="Times New Roman" w:hAnsi="Times New Roman"/>
          <w:sz w:val="24"/>
          <w:szCs w:val="24"/>
        </w:rPr>
        <w:t xml:space="preserve"> України.</w:t>
      </w:r>
    </w:p>
    <w:p w:rsidR="00583392" w:rsidRDefault="00583392" w:rsidP="00583392">
      <w:pPr>
        <w:spacing w:after="0" w:line="240" w:lineRule="auto"/>
        <w:ind w:firstLine="709"/>
        <w:jc w:val="both"/>
        <w:rPr>
          <w:rFonts w:ascii="Times New Roman" w:hAnsi="Times New Roman"/>
          <w:sz w:val="24"/>
          <w:szCs w:val="24"/>
        </w:rPr>
      </w:pPr>
      <w:r>
        <w:rPr>
          <w:rFonts w:ascii="Times New Roman" w:hAnsi="Times New Roman"/>
          <w:sz w:val="24"/>
          <w:szCs w:val="24"/>
        </w:rPr>
        <w:t>В грудні 2018 року  проведено 2 самостійні інспекційні відвідування .</w:t>
      </w:r>
    </w:p>
    <w:p w:rsidR="00583392" w:rsidRDefault="00583392" w:rsidP="0058339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Окрім того, інспекторами праці управління економіки, промисловості та праці ТМР проводиться превентивна робота, спрямована на попередження порушень трудового законодавства. Разом з представниками ГУ ДФС у Тернопільській області, Тернопільського об’єднаного управління Пенсійного фонду України Тернопільської області, Тернопільського </w:t>
      </w:r>
      <w:proofErr w:type="spellStart"/>
      <w:r>
        <w:rPr>
          <w:rFonts w:ascii="Times New Roman" w:hAnsi="Times New Roman"/>
          <w:sz w:val="24"/>
          <w:szCs w:val="24"/>
        </w:rPr>
        <w:t>міськрайонного</w:t>
      </w:r>
      <w:proofErr w:type="spellEnd"/>
      <w:r>
        <w:rPr>
          <w:rFonts w:ascii="Times New Roman" w:hAnsi="Times New Roman"/>
          <w:sz w:val="24"/>
          <w:szCs w:val="24"/>
        </w:rPr>
        <w:t xml:space="preserve"> центру зайнятості з початку 2018року проведено 153 відвідування роботодавців з метою інформування про найбільш ефективні способи дотримання законодавства про працю, легалізації виплати заробітної плати та інформування про відповідальність за порушення законодавства про працю.</w:t>
      </w:r>
    </w:p>
    <w:p w:rsidR="00583392" w:rsidRDefault="00583392" w:rsidP="00583392">
      <w:pPr>
        <w:numPr>
          <w:ilvl w:val="0"/>
          <w:numId w:val="6"/>
        </w:numPr>
        <w:tabs>
          <w:tab w:val="left" w:pos="0"/>
          <w:tab w:val="left" w:pos="851"/>
        </w:tabs>
        <w:spacing w:before="120" w:after="0" w:line="240" w:lineRule="auto"/>
        <w:ind w:left="0" w:firstLine="0"/>
        <w:jc w:val="both"/>
        <w:rPr>
          <w:rFonts w:ascii="Times New Roman" w:hAnsi="Times New Roman"/>
          <w:sz w:val="24"/>
          <w:szCs w:val="24"/>
          <w:u w:val="single"/>
        </w:rPr>
      </w:pPr>
      <w:r>
        <w:rPr>
          <w:rFonts w:ascii="Times New Roman" w:hAnsi="Times New Roman"/>
          <w:sz w:val="24"/>
          <w:szCs w:val="24"/>
          <w:u w:val="single"/>
        </w:rPr>
        <w:t>Реєстрація, облік та зберігання колективних договорів, змін і доповнень до них,контроль за станом дотримання умов колективних договорів.</w:t>
      </w:r>
    </w:p>
    <w:p w:rsidR="00583392" w:rsidRDefault="00583392" w:rsidP="00583392">
      <w:pPr>
        <w:tabs>
          <w:tab w:val="left" w:pos="0"/>
          <w:tab w:val="left" w:pos="851"/>
        </w:tabs>
        <w:spacing w:after="120" w:line="240" w:lineRule="auto"/>
        <w:jc w:val="both"/>
        <w:rPr>
          <w:rFonts w:ascii="Times New Roman" w:hAnsi="Times New Roman"/>
          <w:sz w:val="24"/>
          <w:szCs w:val="24"/>
        </w:rPr>
      </w:pPr>
      <w:r>
        <w:rPr>
          <w:rFonts w:ascii="Times New Roman" w:hAnsi="Times New Roman"/>
          <w:sz w:val="24"/>
          <w:szCs w:val="24"/>
        </w:rPr>
        <w:t xml:space="preserve">Відповідно до статті 15 </w:t>
      </w:r>
      <w:proofErr w:type="spellStart"/>
      <w:r>
        <w:rPr>
          <w:rFonts w:ascii="Times New Roman" w:hAnsi="Times New Roman"/>
          <w:sz w:val="24"/>
          <w:szCs w:val="24"/>
        </w:rPr>
        <w:t>КЗпП</w:t>
      </w:r>
      <w:proofErr w:type="spellEnd"/>
      <w:r>
        <w:rPr>
          <w:rFonts w:ascii="Times New Roman" w:hAnsi="Times New Roman"/>
          <w:sz w:val="24"/>
          <w:szCs w:val="24"/>
        </w:rPr>
        <w:t xml:space="preserve"> України, Закону України «Про колективні договори і угоди» та в порядку, визначеному постановою Кабінету Міністрів України від 13.02.2013р. № 115, працівниками управління економіки, промисловості та праці Тернопільської міської ради здійснюється повідомна реєстрація колективних договорів. У 2018 році зареєстровано 93 колективних договорів, змін і доповнень до них, надано рекомендації та роз’яснення щодо застосування норм чинного законодавства України з питань праці.</w:t>
      </w:r>
    </w:p>
    <w:tbl>
      <w:tblPr>
        <w:tblStyle w:val="a5"/>
        <w:tblW w:w="0" w:type="auto"/>
        <w:jc w:val="center"/>
        <w:tblInd w:w="0" w:type="dxa"/>
        <w:tblLook w:val="04A0"/>
      </w:tblPr>
      <w:tblGrid>
        <w:gridCol w:w="2694"/>
        <w:gridCol w:w="2551"/>
      </w:tblGrid>
      <w:tr w:rsidR="00583392" w:rsidTr="00583392">
        <w:trPr>
          <w:trHeight w:val="247"/>
          <w:jc w:val="center"/>
        </w:trPr>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sz w:val="23"/>
                <w:szCs w:val="23"/>
              </w:rPr>
            </w:pPr>
            <w:proofErr w:type="spellStart"/>
            <w:r>
              <w:rPr>
                <w:rFonts w:ascii="Times New Roman" w:hAnsi="Times New Roman"/>
                <w:sz w:val="23"/>
                <w:szCs w:val="23"/>
              </w:rPr>
              <w:t>Кількість</w:t>
            </w:r>
            <w:proofErr w:type="spellEnd"/>
            <w:r>
              <w:rPr>
                <w:rFonts w:ascii="Times New Roman" w:hAnsi="Times New Roman"/>
                <w:sz w:val="23"/>
                <w:szCs w:val="23"/>
              </w:rPr>
              <w:t xml:space="preserve"> </w:t>
            </w:r>
            <w:proofErr w:type="spellStart"/>
            <w:r>
              <w:rPr>
                <w:rFonts w:ascii="Times New Roman" w:hAnsi="Times New Roman"/>
                <w:sz w:val="23"/>
                <w:szCs w:val="23"/>
              </w:rPr>
              <w:t>зареєстрованих</w:t>
            </w:r>
            <w:proofErr w:type="spellEnd"/>
            <w:r>
              <w:rPr>
                <w:rFonts w:ascii="Times New Roman" w:hAnsi="Times New Roman"/>
                <w:sz w:val="23"/>
                <w:szCs w:val="23"/>
              </w:rPr>
              <w:t xml:space="preserve"> </w:t>
            </w:r>
            <w:proofErr w:type="spellStart"/>
            <w:r>
              <w:rPr>
                <w:rFonts w:ascii="Times New Roman" w:hAnsi="Times New Roman"/>
                <w:sz w:val="23"/>
                <w:szCs w:val="23"/>
              </w:rPr>
              <w:t>колективних</w:t>
            </w:r>
            <w:proofErr w:type="spellEnd"/>
            <w:r>
              <w:rPr>
                <w:rFonts w:ascii="Times New Roman" w:hAnsi="Times New Roman"/>
                <w:sz w:val="23"/>
                <w:szCs w:val="23"/>
              </w:rPr>
              <w:t xml:space="preserve"> </w:t>
            </w:r>
            <w:proofErr w:type="spellStart"/>
            <w:r>
              <w:rPr>
                <w:rFonts w:ascii="Times New Roman" w:hAnsi="Times New Roman"/>
                <w:sz w:val="23"/>
                <w:szCs w:val="23"/>
              </w:rPr>
              <w:t>договорів</w:t>
            </w:r>
            <w:proofErr w:type="spellEnd"/>
          </w:p>
        </w:tc>
      </w:tr>
      <w:tr w:rsidR="00583392" w:rsidTr="00583392">
        <w:trPr>
          <w:trHeight w:val="244"/>
          <w:jc w:val="cent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 xml:space="preserve">2017 </w:t>
            </w:r>
            <w:proofErr w:type="spellStart"/>
            <w:r>
              <w:rPr>
                <w:rFonts w:ascii="Times New Roman" w:hAnsi="Times New Roman"/>
                <w:sz w:val="23"/>
                <w:szCs w:val="23"/>
              </w:rPr>
              <w:t>рік</w:t>
            </w:r>
            <w:proofErr w:type="spell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 xml:space="preserve">2018 </w:t>
            </w:r>
            <w:proofErr w:type="spellStart"/>
            <w:r>
              <w:rPr>
                <w:rFonts w:ascii="Times New Roman" w:hAnsi="Times New Roman"/>
                <w:sz w:val="23"/>
                <w:szCs w:val="23"/>
              </w:rPr>
              <w:t>рік</w:t>
            </w:r>
            <w:proofErr w:type="spellEnd"/>
          </w:p>
        </w:tc>
      </w:tr>
      <w:tr w:rsidR="00583392" w:rsidTr="00583392">
        <w:trPr>
          <w:jc w:val="cent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131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93</w:t>
            </w:r>
          </w:p>
        </w:tc>
      </w:tr>
    </w:tbl>
    <w:p w:rsidR="00583392" w:rsidRDefault="00583392" w:rsidP="00583392">
      <w:pPr>
        <w:pStyle w:val="a4"/>
        <w:numPr>
          <w:ilvl w:val="0"/>
          <w:numId w:val="6"/>
        </w:numPr>
        <w:tabs>
          <w:tab w:val="left" w:pos="284"/>
        </w:tabs>
        <w:spacing w:after="120"/>
        <w:ind w:left="0" w:firstLine="0"/>
        <w:jc w:val="both"/>
        <w:rPr>
          <w:rFonts w:ascii="Times New Roman" w:hAnsi="Times New Roman"/>
          <w:sz w:val="24"/>
          <w:szCs w:val="24"/>
          <w:u w:val="single"/>
        </w:rPr>
      </w:pPr>
      <w:r>
        <w:rPr>
          <w:rFonts w:ascii="Times New Roman" w:hAnsi="Times New Roman"/>
          <w:sz w:val="24"/>
          <w:szCs w:val="24"/>
          <w:u w:val="single"/>
        </w:rPr>
        <w:t xml:space="preserve">У </w:t>
      </w:r>
      <w:proofErr w:type="spellStart"/>
      <w:r>
        <w:rPr>
          <w:rFonts w:ascii="Times New Roman" w:hAnsi="Times New Roman"/>
          <w:sz w:val="24"/>
          <w:szCs w:val="24"/>
          <w:u w:val="single"/>
        </w:rPr>
        <w:t>рамкахдержавної</w:t>
      </w:r>
      <w:proofErr w:type="spellEnd"/>
      <w:r>
        <w:rPr>
          <w:rFonts w:ascii="Times New Roman" w:hAnsi="Times New Roman"/>
          <w:sz w:val="24"/>
          <w:szCs w:val="24"/>
          <w:u w:val="single"/>
        </w:rPr>
        <w:t xml:space="preserve"> підтримки розвитку галузі тваринництва, стабілізації поголів’я худоби, стимулювання збільшення виробництва продукції тваринництва підготовлено та подано відомості департаменту агропромислового розвитку для виплати дотації 3 фізичним особам за догляд молодняку великої рогатої худоби.</w:t>
      </w:r>
    </w:p>
    <w:p w:rsidR="00583392" w:rsidRDefault="00583392" w:rsidP="00583392">
      <w:pPr>
        <w:pStyle w:val="a4"/>
        <w:numPr>
          <w:ilvl w:val="0"/>
          <w:numId w:val="6"/>
        </w:numPr>
        <w:tabs>
          <w:tab w:val="left" w:pos="426"/>
        </w:tabs>
        <w:spacing w:after="120"/>
        <w:ind w:left="0" w:firstLine="0"/>
        <w:jc w:val="both"/>
        <w:rPr>
          <w:rFonts w:ascii="Times New Roman" w:hAnsi="Times New Roman"/>
          <w:sz w:val="24"/>
          <w:szCs w:val="24"/>
          <w:u w:val="single"/>
        </w:rPr>
      </w:pPr>
      <w:r>
        <w:rPr>
          <w:rFonts w:ascii="Times New Roman" w:hAnsi="Times New Roman"/>
          <w:sz w:val="24"/>
          <w:szCs w:val="24"/>
          <w:u w:val="single"/>
        </w:rPr>
        <w:t>З метою залучення інвестицій і кредитних ресурсів, а також міжнародної технічної допомоги для міста  участь у створенні Агенції регіонального розвитку, співзасновником якої є Тернопільська міська рада.</w:t>
      </w:r>
    </w:p>
    <w:p w:rsidR="00583392" w:rsidRDefault="00583392" w:rsidP="00583392">
      <w:pPr>
        <w:pStyle w:val="a4"/>
        <w:numPr>
          <w:ilvl w:val="0"/>
          <w:numId w:val="6"/>
        </w:numPr>
        <w:tabs>
          <w:tab w:val="left" w:pos="426"/>
        </w:tabs>
        <w:spacing w:after="120"/>
        <w:ind w:left="0" w:firstLine="0"/>
        <w:jc w:val="both"/>
        <w:rPr>
          <w:rFonts w:ascii="Times New Roman" w:hAnsi="Times New Roman"/>
          <w:sz w:val="24"/>
          <w:szCs w:val="24"/>
          <w:u w:val="single"/>
        </w:rPr>
      </w:pPr>
      <w:r>
        <w:rPr>
          <w:rFonts w:ascii="Times New Roman" w:hAnsi="Times New Roman"/>
          <w:sz w:val="24"/>
          <w:szCs w:val="24"/>
          <w:u w:val="single"/>
        </w:rPr>
        <w:t xml:space="preserve">Проведено підготовчу роботу щодо приєднання до Тернопільської міської територіальної громади </w:t>
      </w:r>
      <w:proofErr w:type="spellStart"/>
      <w:r>
        <w:rPr>
          <w:rFonts w:ascii="Times New Roman" w:hAnsi="Times New Roman"/>
          <w:sz w:val="24"/>
          <w:szCs w:val="24"/>
          <w:u w:val="single"/>
        </w:rPr>
        <w:t>Курівецької</w:t>
      </w:r>
      <w:proofErr w:type="spellEnd"/>
      <w:r>
        <w:rPr>
          <w:rFonts w:ascii="Times New Roman" w:hAnsi="Times New Roman"/>
          <w:sz w:val="24"/>
          <w:szCs w:val="24"/>
          <w:u w:val="single"/>
        </w:rPr>
        <w:t xml:space="preserve"> сільської територіальної громади (с. </w:t>
      </w:r>
      <w:proofErr w:type="spellStart"/>
      <w:r>
        <w:rPr>
          <w:rFonts w:ascii="Times New Roman" w:hAnsi="Times New Roman"/>
          <w:sz w:val="24"/>
          <w:szCs w:val="24"/>
          <w:u w:val="single"/>
        </w:rPr>
        <w:t>Курівці</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Малашовецької</w:t>
      </w:r>
      <w:proofErr w:type="spellEnd"/>
      <w:r>
        <w:rPr>
          <w:rFonts w:ascii="Times New Roman" w:hAnsi="Times New Roman"/>
          <w:sz w:val="24"/>
          <w:szCs w:val="24"/>
          <w:u w:val="single"/>
        </w:rPr>
        <w:t xml:space="preserve"> сільської територіальної громади (с. </w:t>
      </w:r>
      <w:proofErr w:type="spellStart"/>
      <w:r>
        <w:rPr>
          <w:rFonts w:ascii="Times New Roman" w:hAnsi="Times New Roman"/>
          <w:sz w:val="24"/>
          <w:szCs w:val="24"/>
          <w:u w:val="single"/>
        </w:rPr>
        <w:t>Малашівці</w:t>
      </w:r>
      <w:proofErr w:type="spellEnd"/>
      <w:r>
        <w:rPr>
          <w:rFonts w:ascii="Times New Roman" w:hAnsi="Times New Roman"/>
          <w:sz w:val="24"/>
          <w:szCs w:val="24"/>
          <w:u w:val="single"/>
        </w:rPr>
        <w:t xml:space="preserve"> та с. </w:t>
      </w:r>
      <w:proofErr w:type="spellStart"/>
      <w:r>
        <w:rPr>
          <w:rFonts w:ascii="Times New Roman" w:hAnsi="Times New Roman"/>
          <w:sz w:val="24"/>
          <w:szCs w:val="24"/>
          <w:u w:val="single"/>
        </w:rPr>
        <w:t>Іванківці</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Чернихівської</w:t>
      </w:r>
      <w:proofErr w:type="spellEnd"/>
      <w:r>
        <w:rPr>
          <w:rFonts w:ascii="Times New Roman" w:hAnsi="Times New Roman"/>
          <w:sz w:val="24"/>
          <w:szCs w:val="24"/>
          <w:u w:val="single"/>
        </w:rPr>
        <w:t xml:space="preserve"> сільської територіальної громади (с. </w:t>
      </w:r>
      <w:proofErr w:type="spellStart"/>
      <w:r>
        <w:rPr>
          <w:rFonts w:ascii="Times New Roman" w:hAnsi="Times New Roman"/>
          <w:sz w:val="24"/>
          <w:szCs w:val="24"/>
          <w:u w:val="single"/>
        </w:rPr>
        <w:t>Чернихів</w:t>
      </w:r>
      <w:proofErr w:type="spellEnd"/>
      <w:r>
        <w:rPr>
          <w:rFonts w:ascii="Times New Roman" w:hAnsi="Times New Roman"/>
          <w:sz w:val="24"/>
          <w:szCs w:val="24"/>
          <w:u w:val="single"/>
        </w:rPr>
        <w:t>, с. </w:t>
      </w:r>
      <w:proofErr w:type="spellStart"/>
      <w:r>
        <w:rPr>
          <w:rFonts w:ascii="Times New Roman" w:hAnsi="Times New Roman"/>
          <w:sz w:val="24"/>
          <w:szCs w:val="24"/>
          <w:u w:val="single"/>
        </w:rPr>
        <w:t>Глядки</w:t>
      </w:r>
      <w:proofErr w:type="spellEnd"/>
      <w:r>
        <w:rPr>
          <w:rFonts w:ascii="Times New Roman" w:hAnsi="Times New Roman"/>
          <w:sz w:val="24"/>
          <w:szCs w:val="24"/>
          <w:u w:val="single"/>
        </w:rPr>
        <w:t>, с.</w:t>
      </w:r>
      <w:r>
        <w:rPr>
          <w:u w:val="single"/>
          <w:lang w:val="de-DE"/>
        </w:rPr>
        <w:t> </w:t>
      </w:r>
      <w:proofErr w:type="spellStart"/>
      <w:r>
        <w:rPr>
          <w:rFonts w:ascii="Times New Roman" w:hAnsi="Times New Roman"/>
          <w:sz w:val="24"/>
          <w:szCs w:val="24"/>
          <w:u w:val="single"/>
        </w:rPr>
        <w:t>Плесківці</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Кобзарівської</w:t>
      </w:r>
      <w:proofErr w:type="spellEnd"/>
      <w:r>
        <w:rPr>
          <w:rFonts w:ascii="Times New Roman" w:hAnsi="Times New Roman"/>
          <w:sz w:val="24"/>
          <w:szCs w:val="24"/>
          <w:u w:val="single"/>
        </w:rPr>
        <w:t xml:space="preserve"> сільської територіальної громади (с.</w:t>
      </w:r>
      <w:r>
        <w:rPr>
          <w:rFonts w:ascii="Times New Roman" w:hAnsi="Times New Roman"/>
          <w:sz w:val="24"/>
          <w:szCs w:val="24"/>
          <w:u w:val="single"/>
          <w:lang w:val="de-DE"/>
        </w:rPr>
        <w:t> </w:t>
      </w:r>
      <w:proofErr w:type="spellStart"/>
      <w:r>
        <w:rPr>
          <w:rFonts w:ascii="Times New Roman" w:hAnsi="Times New Roman"/>
          <w:sz w:val="24"/>
          <w:szCs w:val="24"/>
          <w:u w:val="single"/>
        </w:rPr>
        <w:t>Кобзарівка</w:t>
      </w:r>
      <w:proofErr w:type="spellEnd"/>
      <w:r>
        <w:rPr>
          <w:rFonts w:ascii="Times New Roman" w:hAnsi="Times New Roman"/>
          <w:sz w:val="24"/>
          <w:szCs w:val="24"/>
          <w:u w:val="single"/>
        </w:rPr>
        <w:t xml:space="preserve"> та с.</w:t>
      </w:r>
      <w:r>
        <w:rPr>
          <w:rFonts w:ascii="Times New Roman" w:hAnsi="Times New Roman"/>
          <w:sz w:val="24"/>
          <w:szCs w:val="24"/>
          <w:u w:val="single"/>
          <w:lang w:val="de-DE"/>
        </w:rPr>
        <w:t> </w:t>
      </w:r>
      <w:proofErr w:type="spellStart"/>
      <w:r>
        <w:rPr>
          <w:rFonts w:ascii="Times New Roman" w:hAnsi="Times New Roman"/>
          <w:sz w:val="24"/>
          <w:szCs w:val="24"/>
          <w:u w:val="single"/>
        </w:rPr>
        <w:t>Вертелка</w:t>
      </w:r>
      <w:proofErr w:type="spellEnd"/>
      <w:r>
        <w:rPr>
          <w:rFonts w:ascii="Times New Roman" w:hAnsi="Times New Roman"/>
          <w:sz w:val="24"/>
          <w:szCs w:val="24"/>
          <w:u w:val="single"/>
        </w:rPr>
        <w:t>) Зборівського району Тернопільської області.</w:t>
      </w:r>
    </w:p>
    <w:p w:rsidR="00583392" w:rsidRDefault="00583392" w:rsidP="00583392">
      <w:pPr>
        <w:pStyle w:val="a4"/>
        <w:numPr>
          <w:ilvl w:val="0"/>
          <w:numId w:val="6"/>
        </w:numPr>
        <w:tabs>
          <w:tab w:val="left" w:pos="426"/>
        </w:tabs>
        <w:spacing w:before="0"/>
        <w:ind w:left="0" w:firstLine="0"/>
        <w:jc w:val="both"/>
        <w:rPr>
          <w:rFonts w:ascii="Times New Roman" w:hAnsi="Times New Roman"/>
          <w:sz w:val="24"/>
          <w:szCs w:val="24"/>
          <w:u w:val="single"/>
        </w:rPr>
      </w:pPr>
      <w:r>
        <w:rPr>
          <w:rFonts w:ascii="Times New Roman" w:hAnsi="Times New Roman"/>
          <w:sz w:val="24"/>
          <w:szCs w:val="24"/>
          <w:u w:val="single"/>
        </w:rPr>
        <w:t>Прийнято участь у створенні індустріального парку «ТЕРНОПІЛЬ»</w:t>
      </w:r>
      <w:r>
        <w:rPr>
          <w:rFonts w:ascii="Times New Roman" w:hAnsi="Times New Roman"/>
          <w:sz w:val="24"/>
          <w:szCs w:val="24"/>
          <w:u w:val="single"/>
          <w:lang w:val="de-DE"/>
        </w:rPr>
        <w:t>.</w:t>
      </w:r>
    </w:p>
    <w:p w:rsidR="00583392" w:rsidRDefault="00583392" w:rsidP="00583392">
      <w:pPr>
        <w:tabs>
          <w:tab w:val="left" w:pos="426"/>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Підготовлено рішення  про створення індустріального парку «Тернопіль» та затвердження Концепції індустріального парку «Тернопіль»</w:t>
      </w:r>
    </w:p>
    <w:p w:rsidR="00583392" w:rsidRDefault="00583392" w:rsidP="00583392">
      <w:pPr>
        <w:spacing w:after="0" w:line="240" w:lineRule="auto"/>
        <w:jc w:val="both"/>
        <w:rPr>
          <w:rFonts w:ascii="Times New Roman" w:hAnsi="Times New Roman"/>
          <w:sz w:val="24"/>
          <w:szCs w:val="24"/>
          <w:u w:val="single"/>
        </w:rPr>
      </w:pPr>
      <w:r>
        <w:rPr>
          <w:rFonts w:ascii="Times New Roman" w:hAnsi="Times New Roman"/>
          <w:sz w:val="24"/>
          <w:szCs w:val="24"/>
          <w:shd w:val="clear" w:color="auto" w:fill="FFFFFF"/>
        </w:rPr>
        <w:t>Розроблено</w:t>
      </w:r>
      <w:r>
        <w:rPr>
          <w:rFonts w:ascii="Times New Roman" w:hAnsi="Times New Roman"/>
          <w:bCs/>
          <w:color w:val="000000"/>
          <w:sz w:val="24"/>
          <w:szCs w:val="24"/>
        </w:rPr>
        <w:t xml:space="preserve"> Концепцію індустріального парку «ТЕРНОПІЛЬ».</w:t>
      </w:r>
    </w:p>
    <w:p w:rsidR="00583392" w:rsidRDefault="00583392" w:rsidP="00583392">
      <w:pPr>
        <w:spacing w:after="0" w:line="240" w:lineRule="auto"/>
        <w:jc w:val="both"/>
        <w:rPr>
          <w:rFonts w:ascii="Times New Roman" w:hAnsi="Times New Roman"/>
          <w:sz w:val="24"/>
          <w:szCs w:val="24"/>
          <w:u w:val="single"/>
        </w:rPr>
      </w:pPr>
      <w:r>
        <w:rPr>
          <w:rFonts w:ascii="Times New Roman" w:hAnsi="Times New Roman"/>
          <w:sz w:val="24"/>
          <w:szCs w:val="24"/>
        </w:rPr>
        <w:t xml:space="preserve">Підготовлено рішення «Про організацію та </w:t>
      </w:r>
      <w:proofErr w:type="spellStart"/>
      <w:r>
        <w:rPr>
          <w:rFonts w:ascii="Times New Roman" w:hAnsi="Times New Roman"/>
          <w:sz w:val="24"/>
          <w:szCs w:val="24"/>
        </w:rPr>
        <w:t>проведенняконкурсу</w:t>
      </w:r>
      <w:proofErr w:type="spellEnd"/>
      <w:r>
        <w:rPr>
          <w:rFonts w:ascii="Times New Roman" w:hAnsi="Times New Roman"/>
          <w:sz w:val="24"/>
          <w:szCs w:val="24"/>
        </w:rPr>
        <w:t xml:space="preserve"> з вибору керуючої компанії індустріального парку «Тернопіль»</w:t>
      </w:r>
    </w:p>
    <w:p w:rsidR="00583392" w:rsidRDefault="00583392" w:rsidP="00583392">
      <w:pPr>
        <w:spacing w:after="0" w:line="240" w:lineRule="auto"/>
        <w:jc w:val="both"/>
        <w:rPr>
          <w:rFonts w:ascii="Times New Roman" w:hAnsi="Times New Roman"/>
          <w:sz w:val="24"/>
          <w:szCs w:val="24"/>
          <w:u w:val="single"/>
        </w:rPr>
      </w:pPr>
      <w:r>
        <w:rPr>
          <w:rFonts w:ascii="Times New Roman" w:hAnsi="Times New Roman"/>
          <w:sz w:val="24"/>
          <w:szCs w:val="24"/>
        </w:rPr>
        <w:t xml:space="preserve">У листопаді 2018 року оголошено конкурс з вибору керуючої компанії індустріального парку «ТЕРНОПІЛЬ». </w:t>
      </w:r>
    </w:p>
    <w:p w:rsidR="00583392" w:rsidRDefault="00583392" w:rsidP="0058339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Відповідно до наказу </w:t>
      </w:r>
      <w:proofErr w:type="spellStart"/>
      <w:r>
        <w:rPr>
          <w:rFonts w:ascii="Times New Roman" w:hAnsi="Times New Roman"/>
          <w:sz w:val="24"/>
          <w:szCs w:val="24"/>
        </w:rPr>
        <w:t>Мінекономрозвитку</w:t>
      </w:r>
      <w:proofErr w:type="spellEnd"/>
      <w:r>
        <w:rPr>
          <w:rFonts w:ascii="Times New Roman" w:hAnsi="Times New Roman"/>
          <w:sz w:val="24"/>
          <w:szCs w:val="24"/>
        </w:rPr>
        <w:t xml:space="preserve"> України індустріальний парк «ТЕРНОПІЛЬ» включено до Реєстру індустріальних (промислових) парків України під №33.</w:t>
      </w:r>
    </w:p>
    <w:p w:rsidR="00583392" w:rsidRDefault="00583392" w:rsidP="00583392">
      <w:pPr>
        <w:numPr>
          <w:ilvl w:val="0"/>
          <w:numId w:val="6"/>
        </w:numPr>
        <w:tabs>
          <w:tab w:val="left" w:pos="567"/>
          <w:tab w:val="left" w:pos="993"/>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u w:val="single"/>
        </w:rPr>
        <w:t xml:space="preserve">З метою забезпечення Тернопільської міської ради в товарах роботах та послугах проведено </w:t>
      </w:r>
      <w:r>
        <w:rPr>
          <w:rFonts w:ascii="Times New Roman" w:hAnsi="Times New Roman"/>
          <w:color w:val="000000"/>
          <w:sz w:val="24"/>
          <w:szCs w:val="24"/>
        </w:rPr>
        <w:t xml:space="preserve"> 13 Відкритих торгів (у 2017 році – 19) та </w:t>
      </w:r>
      <w:proofErr w:type="spellStart"/>
      <w:r>
        <w:rPr>
          <w:rFonts w:ascii="Times New Roman" w:hAnsi="Times New Roman"/>
          <w:color w:val="000000"/>
          <w:sz w:val="24"/>
          <w:szCs w:val="24"/>
        </w:rPr>
        <w:t>заключено</w:t>
      </w:r>
      <w:proofErr w:type="spellEnd"/>
      <w:r>
        <w:rPr>
          <w:rFonts w:ascii="Times New Roman" w:hAnsi="Times New Roman"/>
          <w:color w:val="000000"/>
          <w:sz w:val="24"/>
          <w:szCs w:val="24"/>
        </w:rPr>
        <w:t xml:space="preserve"> 13 договорів,</w:t>
      </w:r>
    </w:p>
    <w:p w:rsidR="00583392" w:rsidRDefault="00583392" w:rsidP="00583392">
      <w:pPr>
        <w:tabs>
          <w:tab w:val="left" w:pos="567"/>
          <w:tab w:val="left" w:pos="993"/>
          <w:tab w:val="left" w:pos="1134"/>
        </w:tabs>
        <w:spacing w:before="120" w:after="120" w:line="240" w:lineRule="auto"/>
        <w:jc w:val="both"/>
        <w:rPr>
          <w:rFonts w:ascii="Times New Roman" w:hAnsi="Times New Roman"/>
          <w:sz w:val="24"/>
          <w:szCs w:val="24"/>
          <w:u w:val="single"/>
        </w:rPr>
      </w:pPr>
      <w:r>
        <w:rPr>
          <w:rFonts w:ascii="Times New Roman" w:hAnsi="Times New Roman"/>
          <w:sz w:val="24"/>
          <w:szCs w:val="24"/>
        </w:rPr>
        <w:t>11.</w:t>
      </w:r>
      <w:r>
        <w:rPr>
          <w:rFonts w:ascii="Times New Roman" w:hAnsi="Times New Roman"/>
          <w:bCs/>
          <w:color w:val="000000" w:themeColor="text1"/>
          <w:sz w:val="24"/>
          <w:szCs w:val="24"/>
          <w:u w:val="single"/>
        </w:rPr>
        <w:t>Документообіг та розгляд скарг, запитів, листів,</w:t>
      </w:r>
      <w:r>
        <w:rPr>
          <w:rFonts w:ascii="Times New Roman" w:hAnsi="Times New Roman"/>
          <w:sz w:val="24"/>
          <w:szCs w:val="24"/>
          <w:u w:val="single"/>
        </w:rPr>
        <w:t>підготовка інформації на доручення, розпорядження міського голови, заступників міського голови, на доручення, розпорядження та рішення облдержадміністрації тощо.</w:t>
      </w:r>
    </w:p>
    <w:p w:rsidR="00583392" w:rsidRDefault="00583392" w:rsidP="00583392">
      <w:pPr>
        <w:widowControl w:val="0"/>
        <w:tabs>
          <w:tab w:val="left" w:pos="0"/>
          <w:tab w:val="left" w:pos="142"/>
        </w:tabs>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За період з 01.01.2018 року по 01.12.2018 року в управління надійшло </w:t>
      </w:r>
      <w:r>
        <w:rPr>
          <w:rFonts w:ascii="Times New Roman" w:hAnsi="Times New Roman"/>
          <w:b/>
          <w:bCs/>
          <w:color w:val="000000" w:themeColor="text1"/>
          <w:sz w:val="24"/>
          <w:szCs w:val="24"/>
        </w:rPr>
        <w:t>1202 документів</w:t>
      </w:r>
      <w:r>
        <w:rPr>
          <w:rFonts w:ascii="Times New Roman" w:hAnsi="Times New Roman"/>
          <w:sz w:val="24"/>
          <w:szCs w:val="24"/>
        </w:rPr>
        <w:t xml:space="preserve">  (у 2017 році загальний документообіг в управлінні складав 836 </w:t>
      </w:r>
      <w:r>
        <w:rPr>
          <w:rFonts w:ascii="Times New Roman" w:hAnsi="Times New Roman"/>
          <w:bCs/>
          <w:color w:val="000000" w:themeColor="text1"/>
          <w:sz w:val="24"/>
          <w:szCs w:val="24"/>
        </w:rPr>
        <w:t xml:space="preserve">), серед них: </w:t>
      </w:r>
    </w:p>
    <w:p w:rsidR="00583392" w:rsidRDefault="00583392" w:rsidP="00583392">
      <w:pPr>
        <w:widowControl w:val="0"/>
        <w:tabs>
          <w:tab w:val="left" w:pos="0"/>
          <w:tab w:val="left" w:pos="142"/>
        </w:tabs>
        <w:spacing w:after="0" w:line="240" w:lineRule="auto"/>
        <w:jc w:val="both"/>
        <w:rPr>
          <w:rFonts w:ascii="Times New Roman" w:hAnsi="Times New Roman"/>
          <w:sz w:val="24"/>
          <w:szCs w:val="24"/>
        </w:rPr>
      </w:pPr>
      <w:r>
        <w:rPr>
          <w:rFonts w:ascii="Times New Roman" w:hAnsi="Times New Roman"/>
          <w:b/>
          <w:bCs/>
          <w:color w:val="000000" w:themeColor="text1"/>
          <w:sz w:val="24"/>
          <w:szCs w:val="24"/>
        </w:rPr>
        <w:t>245</w:t>
      </w:r>
      <w:r>
        <w:rPr>
          <w:rFonts w:ascii="Times New Roman" w:hAnsi="Times New Roman"/>
          <w:bCs/>
          <w:color w:val="000000" w:themeColor="text1"/>
          <w:sz w:val="24"/>
          <w:szCs w:val="24"/>
        </w:rPr>
        <w:t xml:space="preserve"> – протокольні доручення, доручення міського голови та заступників, рішення Тернопільської міської ради та виконавчого комітету, розпорядження міського голови тощо</w:t>
      </w:r>
      <w:r>
        <w:rPr>
          <w:rFonts w:ascii="Times New Roman" w:hAnsi="Times New Roman"/>
          <w:sz w:val="24"/>
          <w:szCs w:val="24"/>
        </w:rPr>
        <w:t xml:space="preserve"> (аналогічний період – 183); </w:t>
      </w:r>
    </w:p>
    <w:p w:rsidR="00583392" w:rsidRDefault="00583392" w:rsidP="00583392">
      <w:pPr>
        <w:widowControl w:val="0"/>
        <w:tabs>
          <w:tab w:val="left" w:pos="0"/>
          <w:tab w:val="left" w:pos="142"/>
        </w:tabs>
        <w:spacing w:after="0" w:line="240" w:lineRule="auto"/>
        <w:jc w:val="both"/>
        <w:rPr>
          <w:rFonts w:ascii="Times New Roman" w:hAnsi="Times New Roman"/>
          <w:bCs/>
          <w:color w:val="000000" w:themeColor="text1"/>
          <w:sz w:val="24"/>
          <w:szCs w:val="24"/>
        </w:rPr>
      </w:pPr>
      <w:r>
        <w:rPr>
          <w:rFonts w:ascii="Times New Roman" w:hAnsi="Times New Roman"/>
          <w:b/>
          <w:bCs/>
          <w:color w:val="000000" w:themeColor="text1"/>
          <w:sz w:val="24"/>
          <w:szCs w:val="24"/>
        </w:rPr>
        <w:lastRenderedPageBreak/>
        <w:t>901</w:t>
      </w:r>
      <w:r>
        <w:rPr>
          <w:rFonts w:ascii="Times New Roman" w:hAnsi="Times New Roman"/>
          <w:bCs/>
          <w:color w:val="000000" w:themeColor="text1"/>
          <w:sz w:val="24"/>
          <w:szCs w:val="24"/>
        </w:rPr>
        <w:t xml:space="preserve"> – звернення юридичних осіб, підприємств, організацій, інформаційні запити(у 2017 році – 628);</w:t>
      </w:r>
    </w:p>
    <w:p w:rsidR="00583392" w:rsidRDefault="00583392" w:rsidP="00583392">
      <w:pPr>
        <w:widowControl w:val="0"/>
        <w:tabs>
          <w:tab w:val="left" w:pos="0"/>
          <w:tab w:val="left" w:pos="142"/>
          <w:tab w:val="left" w:pos="709"/>
        </w:tabs>
        <w:spacing w:after="0" w:line="240" w:lineRule="auto"/>
        <w:jc w:val="both"/>
        <w:rPr>
          <w:rFonts w:ascii="Times New Roman" w:hAnsi="Times New Roman"/>
          <w:bCs/>
          <w:color w:val="000000" w:themeColor="text1"/>
          <w:sz w:val="24"/>
          <w:szCs w:val="24"/>
        </w:rPr>
      </w:pPr>
      <w:r>
        <w:rPr>
          <w:rFonts w:ascii="Times New Roman" w:hAnsi="Times New Roman"/>
          <w:b/>
          <w:bCs/>
          <w:color w:val="000000" w:themeColor="text1"/>
          <w:sz w:val="24"/>
          <w:szCs w:val="24"/>
        </w:rPr>
        <w:t>56</w:t>
      </w:r>
      <w:r>
        <w:rPr>
          <w:rFonts w:ascii="Times New Roman" w:hAnsi="Times New Roman"/>
          <w:bCs/>
          <w:color w:val="000000" w:themeColor="text1"/>
          <w:sz w:val="24"/>
          <w:szCs w:val="24"/>
        </w:rPr>
        <w:t xml:space="preserve"> – звернення громадян, особисті прийоми, депутатські запити (у 2017 році – 43 звернення).</w:t>
      </w:r>
    </w:p>
    <w:p w:rsidR="00583392" w:rsidRDefault="00583392" w:rsidP="00583392">
      <w:pPr>
        <w:shd w:val="clear" w:color="auto" w:fill="FFFFFF"/>
        <w:spacing w:after="120" w:line="240" w:lineRule="auto"/>
        <w:ind w:firstLine="709"/>
        <w:jc w:val="both"/>
        <w:rPr>
          <w:rFonts w:ascii="Times New Roman" w:hAnsi="Times New Roman"/>
          <w:b/>
          <w:bCs/>
          <w:color w:val="000000" w:themeColor="text1"/>
          <w:sz w:val="24"/>
          <w:szCs w:val="24"/>
          <w:u w:val="single"/>
        </w:rPr>
      </w:pPr>
      <w:r>
        <w:rPr>
          <w:rFonts w:ascii="Times New Roman" w:hAnsi="Times New Roman"/>
          <w:bCs/>
          <w:color w:val="000000" w:themeColor="text1"/>
          <w:sz w:val="24"/>
          <w:szCs w:val="24"/>
        </w:rPr>
        <w:t>Усі звернення, пропозиції розглянуто працівниками управління, підготовлено та направлено інформацію в межах чинного законодавства та компетенції</w:t>
      </w: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1769"/>
        <w:gridCol w:w="3014"/>
        <w:gridCol w:w="3004"/>
      </w:tblGrid>
      <w:tr w:rsidR="00583392" w:rsidTr="00583392">
        <w:trPr>
          <w:trHeight w:val="326"/>
          <w:jc w:val="center"/>
        </w:trPr>
        <w:tc>
          <w:tcPr>
            <w:tcW w:w="1019"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Зміст</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Відповідальний за виконання</w:t>
            </w:r>
          </w:p>
        </w:tc>
        <w:tc>
          <w:tcPr>
            <w:tcW w:w="1554"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2017 рік</w:t>
            </w:r>
          </w:p>
        </w:tc>
        <w:tc>
          <w:tcPr>
            <w:tcW w:w="1549"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2018 рік</w:t>
            </w:r>
          </w:p>
        </w:tc>
      </w:tr>
      <w:tr w:rsidR="00583392" w:rsidTr="00583392">
        <w:trPr>
          <w:trHeight w:val="649"/>
          <w:jc w:val="center"/>
        </w:trPr>
        <w:tc>
          <w:tcPr>
            <w:tcW w:w="1019"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Опрацювання звернень фізичних та юридичних осіб</w:t>
            </w:r>
          </w:p>
        </w:tc>
        <w:tc>
          <w:tcPr>
            <w:tcW w:w="878"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Працівники управління</w:t>
            </w:r>
          </w:p>
        </w:tc>
        <w:tc>
          <w:tcPr>
            <w:tcW w:w="1554"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43 звернень фізичних осіб;</w:t>
            </w:r>
          </w:p>
          <w:p w:rsidR="00583392" w:rsidRDefault="00583392">
            <w:pPr>
              <w:spacing w:after="0" w:line="240" w:lineRule="auto"/>
              <w:rPr>
                <w:rFonts w:ascii="Times New Roman" w:hAnsi="Times New Roman"/>
                <w:sz w:val="23"/>
                <w:szCs w:val="23"/>
              </w:rPr>
            </w:pPr>
            <w:r>
              <w:rPr>
                <w:rFonts w:ascii="Times New Roman" w:hAnsi="Times New Roman"/>
                <w:sz w:val="23"/>
                <w:szCs w:val="23"/>
              </w:rPr>
              <w:t>628 звернень юридичних осіб</w:t>
            </w:r>
          </w:p>
          <w:p w:rsidR="00583392" w:rsidRDefault="00583392">
            <w:pPr>
              <w:spacing w:after="0" w:line="240" w:lineRule="auto"/>
              <w:rPr>
                <w:rFonts w:ascii="Times New Roman" w:hAnsi="Times New Roman"/>
                <w:sz w:val="23"/>
                <w:szCs w:val="23"/>
              </w:rPr>
            </w:pPr>
            <w:r>
              <w:rPr>
                <w:rFonts w:ascii="Times New Roman" w:hAnsi="Times New Roman"/>
                <w:sz w:val="23"/>
                <w:szCs w:val="23"/>
              </w:rPr>
              <w:t>183 контрольні документи</w:t>
            </w:r>
          </w:p>
        </w:tc>
        <w:tc>
          <w:tcPr>
            <w:tcW w:w="1549"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56 звернень фізичних осіб;</w:t>
            </w:r>
          </w:p>
          <w:p w:rsidR="00583392" w:rsidRDefault="00583392">
            <w:pPr>
              <w:spacing w:after="0" w:line="240" w:lineRule="auto"/>
              <w:rPr>
                <w:rFonts w:ascii="Times New Roman" w:hAnsi="Times New Roman"/>
                <w:sz w:val="23"/>
                <w:szCs w:val="23"/>
              </w:rPr>
            </w:pPr>
            <w:r>
              <w:rPr>
                <w:rFonts w:ascii="Times New Roman" w:hAnsi="Times New Roman"/>
                <w:sz w:val="23"/>
                <w:szCs w:val="23"/>
              </w:rPr>
              <w:t>901 звернень юридичних осіб</w:t>
            </w:r>
          </w:p>
          <w:p w:rsidR="00583392" w:rsidRDefault="00583392">
            <w:pPr>
              <w:spacing w:after="0" w:line="240" w:lineRule="auto"/>
              <w:rPr>
                <w:rFonts w:ascii="Times New Roman" w:hAnsi="Times New Roman"/>
                <w:sz w:val="23"/>
                <w:szCs w:val="23"/>
              </w:rPr>
            </w:pPr>
            <w:r>
              <w:rPr>
                <w:rFonts w:ascii="Times New Roman" w:hAnsi="Times New Roman"/>
                <w:sz w:val="23"/>
                <w:szCs w:val="23"/>
              </w:rPr>
              <w:t>245 контрольних документи</w:t>
            </w:r>
          </w:p>
        </w:tc>
      </w:tr>
    </w:tbl>
    <w:p w:rsidR="00583392" w:rsidRDefault="00583392" w:rsidP="00583392">
      <w:pPr>
        <w:tabs>
          <w:tab w:val="left" w:pos="567"/>
          <w:tab w:val="left" w:pos="851"/>
        </w:tabs>
        <w:spacing w:before="120" w:after="120" w:line="240" w:lineRule="auto"/>
        <w:ind w:firstLine="709"/>
        <w:jc w:val="both"/>
        <w:rPr>
          <w:rFonts w:ascii="Times New Roman" w:hAnsi="Times New Roman"/>
          <w:sz w:val="24"/>
          <w:szCs w:val="24"/>
        </w:rPr>
      </w:pPr>
      <w:r>
        <w:rPr>
          <w:rFonts w:ascii="Times New Roman" w:hAnsi="Times New Roman"/>
          <w:sz w:val="24"/>
          <w:szCs w:val="24"/>
        </w:rPr>
        <w:t>На постійному контролі в працівників управління знаходяться документи, що підлягають виконанню (рішення виконавчого комітету, розпорядження і доручення міського голови та облдержадміністрації)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1560"/>
        <w:gridCol w:w="1701"/>
      </w:tblGrid>
      <w:tr w:rsidR="00583392" w:rsidTr="00583392">
        <w:trPr>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rsidR="00583392" w:rsidRDefault="00583392">
            <w:pPr>
              <w:tabs>
                <w:tab w:val="left" w:pos="567"/>
                <w:tab w:val="left" w:pos="851"/>
              </w:tabs>
              <w:spacing w:after="0" w:line="240" w:lineRule="auto"/>
              <w:ind w:firstLine="567"/>
              <w:jc w:val="center"/>
              <w:rPr>
                <w:rFonts w:ascii="Times New Roman" w:hAnsi="Times New Roman"/>
                <w:sz w:val="23"/>
                <w:szCs w:val="23"/>
              </w:rPr>
            </w:pPr>
            <w:r>
              <w:rPr>
                <w:rFonts w:ascii="Times New Roman" w:hAnsi="Times New Roman"/>
                <w:sz w:val="23"/>
                <w:szCs w:val="23"/>
              </w:rPr>
              <w:t>Термін розгляду документів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2017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3392" w:rsidRDefault="00583392">
            <w:pPr>
              <w:tabs>
                <w:tab w:val="left" w:pos="678"/>
                <w:tab w:val="left" w:pos="851"/>
              </w:tabs>
              <w:spacing w:after="0" w:line="240" w:lineRule="auto"/>
              <w:jc w:val="center"/>
              <w:rPr>
                <w:rFonts w:ascii="Times New Roman" w:hAnsi="Times New Roman"/>
                <w:sz w:val="23"/>
                <w:szCs w:val="23"/>
              </w:rPr>
            </w:pPr>
            <w:r>
              <w:rPr>
                <w:rFonts w:ascii="Times New Roman" w:hAnsi="Times New Roman"/>
                <w:sz w:val="23"/>
                <w:szCs w:val="23"/>
              </w:rPr>
              <w:t>2018 рік</w:t>
            </w:r>
          </w:p>
        </w:tc>
      </w:tr>
      <w:tr w:rsidR="00583392" w:rsidTr="00583392">
        <w:trPr>
          <w:jc w:val="center"/>
        </w:trPr>
        <w:tc>
          <w:tcPr>
            <w:tcW w:w="4322"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both"/>
              <w:rPr>
                <w:rFonts w:ascii="Times New Roman" w:hAnsi="Times New Roman"/>
                <w:sz w:val="23"/>
                <w:szCs w:val="23"/>
              </w:rPr>
            </w:pPr>
            <w:r>
              <w:rPr>
                <w:rFonts w:ascii="Times New Roman" w:hAnsi="Times New Roman"/>
                <w:sz w:val="23"/>
                <w:szCs w:val="23"/>
              </w:rPr>
              <w:t>щотижнево</w:t>
            </w:r>
          </w:p>
        </w:tc>
        <w:tc>
          <w:tcPr>
            <w:tcW w:w="1560"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2</w:t>
            </w:r>
          </w:p>
        </w:tc>
        <w:tc>
          <w:tcPr>
            <w:tcW w:w="1701"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2</w:t>
            </w:r>
          </w:p>
        </w:tc>
      </w:tr>
      <w:tr w:rsidR="00583392" w:rsidTr="00583392">
        <w:trPr>
          <w:jc w:val="center"/>
        </w:trPr>
        <w:tc>
          <w:tcPr>
            <w:tcW w:w="4322"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ind w:firstLine="106"/>
              <w:jc w:val="both"/>
              <w:rPr>
                <w:rFonts w:ascii="Times New Roman" w:hAnsi="Times New Roman"/>
                <w:sz w:val="23"/>
                <w:szCs w:val="23"/>
              </w:rPr>
            </w:pPr>
            <w:r>
              <w:rPr>
                <w:rFonts w:ascii="Times New Roman" w:hAnsi="Times New Roman"/>
                <w:sz w:val="23"/>
                <w:szCs w:val="23"/>
              </w:rPr>
              <w:t>щомісячно</w:t>
            </w:r>
          </w:p>
        </w:tc>
        <w:tc>
          <w:tcPr>
            <w:tcW w:w="1560"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8</w:t>
            </w:r>
          </w:p>
        </w:tc>
      </w:tr>
      <w:tr w:rsidR="00583392" w:rsidTr="00583392">
        <w:trPr>
          <w:jc w:val="center"/>
        </w:trPr>
        <w:tc>
          <w:tcPr>
            <w:tcW w:w="4322"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both"/>
              <w:rPr>
                <w:rFonts w:ascii="Times New Roman" w:hAnsi="Times New Roman"/>
                <w:sz w:val="23"/>
                <w:szCs w:val="23"/>
              </w:rPr>
            </w:pPr>
            <w:r>
              <w:rPr>
                <w:rFonts w:ascii="Times New Roman" w:hAnsi="Times New Roman"/>
                <w:sz w:val="23"/>
                <w:szCs w:val="23"/>
              </w:rPr>
              <w:t>щоквартально</w:t>
            </w:r>
          </w:p>
        </w:tc>
        <w:tc>
          <w:tcPr>
            <w:tcW w:w="1560"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16</w:t>
            </w:r>
          </w:p>
        </w:tc>
        <w:tc>
          <w:tcPr>
            <w:tcW w:w="1701"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14</w:t>
            </w:r>
          </w:p>
        </w:tc>
      </w:tr>
      <w:tr w:rsidR="00583392" w:rsidTr="00583392">
        <w:trPr>
          <w:jc w:val="center"/>
        </w:trPr>
        <w:tc>
          <w:tcPr>
            <w:tcW w:w="4322"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both"/>
              <w:rPr>
                <w:rFonts w:ascii="Times New Roman" w:hAnsi="Times New Roman"/>
                <w:sz w:val="23"/>
                <w:szCs w:val="23"/>
              </w:rPr>
            </w:pPr>
            <w:r>
              <w:rPr>
                <w:rFonts w:ascii="Times New Roman" w:hAnsi="Times New Roman"/>
                <w:sz w:val="23"/>
                <w:szCs w:val="23"/>
              </w:rPr>
              <w:t>що півроку</w:t>
            </w:r>
          </w:p>
        </w:tc>
        <w:tc>
          <w:tcPr>
            <w:tcW w:w="1560"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3</w:t>
            </w:r>
          </w:p>
        </w:tc>
        <w:tc>
          <w:tcPr>
            <w:tcW w:w="1701"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3</w:t>
            </w:r>
          </w:p>
        </w:tc>
      </w:tr>
      <w:tr w:rsidR="00583392" w:rsidTr="00583392">
        <w:trPr>
          <w:jc w:val="center"/>
        </w:trPr>
        <w:tc>
          <w:tcPr>
            <w:tcW w:w="4322"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both"/>
              <w:rPr>
                <w:rFonts w:ascii="Times New Roman" w:hAnsi="Times New Roman"/>
                <w:sz w:val="23"/>
                <w:szCs w:val="23"/>
              </w:rPr>
            </w:pPr>
            <w:r>
              <w:rPr>
                <w:rFonts w:ascii="Times New Roman" w:hAnsi="Times New Roman"/>
                <w:sz w:val="23"/>
                <w:szCs w:val="23"/>
              </w:rPr>
              <w:t>щороку</w:t>
            </w:r>
          </w:p>
        </w:tc>
        <w:tc>
          <w:tcPr>
            <w:tcW w:w="1560"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2</w:t>
            </w:r>
          </w:p>
        </w:tc>
        <w:tc>
          <w:tcPr>
            <w:tcW w:w="1701" w:type="dxa"/>
            <w:tcBorders>
              <w:top w:val="single" w:sz="4" w:space="0" w:color="auto"/>
              <w:left w:val="single" w:sz="4" w:space="0" w:color="auto"/>
              <w:bottom w:val="single" w:sz="4" w:space="0" w:color="auto"/>
              <w:right w:val="single" w:sz="4" w:space="0" w:color="auto"/>
            </w:tcBorders>
            <w:hideMark/>
          </w:tcPr>
          <w:p w:rsidR="00583392" w:rsidRDefault="00583392">
            <w:pPr>
              <w:tabs>
                <w:tab w:val="left" w:pos="567"/>
                <w:tab w:val="left" w:pos="851"/>
              </w:tabs>
              <w:spacing w:after="0" w:line="240" w:lineRule="auto"/>
              <w:jc w:val="center"/>
              <w:rPr>
                <w:rFonts w:ascii="Times New Roman" w:hAnsi="Times New Roman"/>
                <w:sz w:val="23"/>
                <w:szCs w:val="23"/>
              </w:rPr>
            </w:pPr>
            <w:r>
              <w:rPr>
                <w:rFonts w:ascii="Times New Roman" w:hAnsi="Times New Roman"/>
                <w:sz w:val="23"/>
                <w:szCs w:val="23"/>
              </w:rPr>
              <w:t>1</w:t>
            </w:r>
          </w:p>
        </w:tc>
      </w:tr>
    </w:tbl>
    <w:p w:rsidR="00583392" w:rsidRDefault="00583392" w:rsidP="00583392">
      <w:pPr>
        <w:tabs>
          <w:tab w:val="left" w:pos="567"/>
          <w:tab w:val="left" w:pos="851"/>
        </w:tabs>
        <w:spacing w:before="120" w:after="12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Підготовка проектів рішень міської ради, виконавчого комітету, розпоряджень міського голови.</w:t>
      </w: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1319"/>
        <w:gridCol w:w="1769"/>
        <w:gridCol w:w="2925"/>
        <w:gridCol w:w="2883"/>
      </w:tblGrid>
      <w:tr w:rsidR="00583392" w:rsidTr="00583392">
        <w:trPr>
          <w:trHeight w:val="216"/>
          <w:jc w:val="center"/>
        </w:trPr>
        <w:tc>
          <w:tcPr>
            <w:tcW w:w="313"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 п/п</w:t>
            </w:r>
          </w:p>
        </w:tc>
        <w:tc>
          <w:tcPr>
            <w:tcW w:w="684"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Зміст</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Відповідальний за виконання</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2017 рік</w:t>
            </w:r>
          </w:p>
        </w:tc>
        <w:tc>
          <w:tcPr>
            <w:tcW w:w="1538" w:type="pct"/>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jc w:val="center"/>
              <w:rPr>
                <w:rFonts w:ascii="Times New Roman" w:hAnsi="Times New Roman"/>
                <w:sz w:val="23"/>
                <w:szCs w:val="23"/>
              </w:rPr>
            </w:pPr>
            <w:r>
              <w:rPr>
                <w:rFonts w:ascii="Times New Roman" w:hAnsi="Times New Roman"/>
                <w:sz w:val="23"/>
                <w:szCs w:val="23"/>
              </w:rPr>
              <w:t>2018 рік</w:t>
            </w:r>
          </w:p>
        </w:tc>
      </w:tr>
      <w:tr w:rsidR="00583392" w:rsidTr="00583392">
        <w:trPr>
          <w:trHeight w:val="62"/>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583392" w:rsidRDefault="00583392">
            <w:pPr>
              <w:pStyle w:val="a3"/>
              <w:ind w:left="0"/>
              <w:jc w:val="center"/>
              <w:rPr>
                <w:rFonts w:ascii="Times New Roman" w:hAnsi="Times New Roman"/>
                <w:sz w:val="23"/>
                <w:szCs w:val="23"/>
                <w:lang w:val="en-US" w:eastAsia="ru-RU"/>
              </w:rPr>
            </w:pPr>
            <w:r>
              <w:rPr>
                <w:rFonts w:ascii="Times New Roman" w:hAnsi="Times New Roman"/>
                <w:sz w:val="23"/>
                <w:szCs w:val="23"/>
                <w:lang w:val="en-US" w:eastAsia="ru-RU"/>
              </w:rPr>
              <w:t>1</w:t>
            </w:r>
          </w:p>
        </w:tc>
        <w:tc>
          <w:tcPr>
            <w:tcW w:w="684" w:type="pct"/>
            <w:vMerge w:val="restar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Підготовка проектів документів</w:t>
            </w:r>
          </w:p>
        </w:tc>
        <w:tc>
          <w:tcPr>
            <w:tcW w:w="905" w:type="pct"/>
            <w:vMerge w:val="restar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Працівники управління</w:t>
            </w:r>
          </w:p>
        </w:tc>
        <w:tc>
          <w:tcPr>
            <w:tcW w:w="1560"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4 рішення міської ради</w:t>
            </w:r>
          </w:p>
        </w:tc>
        <w:tc>
          <w:tcPr>
            <w:tcW w:w="1538"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19 рішень міської ради</w:t>
            </w:r>
          </w:p>
        </w:tc>
      </w:tr>
      <w:tr w:rsidR="00583392" w:rsidTr="00583392">
        <w:trPr>
          <w:trHeight w:val="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rPr>
                <w:rFonts w:ascii="Times New Roman" w:hAnsi="Times New Roman"/>
                <w:sz w:val="23"/>
                <w:szCs w:val="23"/>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rPr>
                <w:rFonts w:ascii="Times New Roman" w:hAnsi="Times New Roman"/>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rPr>
                <w:rFonts w:ascii="Times New Roman" w:hAnsi="Times New Roman"/>
                <w:sz w:val="23"/>
                <w:szCs w:val="23"/>
              </w:rPr>
            </w:pPr>
          </w:p>
        </w:tc>
        <w:tc>
          <w:tcPr>
            <w:tcW w:w="1560"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 xml:space="preserve">4 рішення виконавчого комітету </w:t>
            </w:r>
          </w:p>
        </w:tc>
        <w:tc>
          <w:tcPr>
            <w:tcW w:w="1538"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 xml:space="preserve">9 рішень виконавчого комітету </w:t>
            </w:r>
          </w:p>
        </w:tc>
      </w:tr>
      <w:tr w:rsidR="00583392" w:rsidTr="00583392">
        <w:trPr>
          <w:trHeight w:val="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rPr>
                <w:rFonts w:ascii="Times New Roman" w:hAnsi="Times New Roman"/>
                <w:sz w:val="23"/>
                <w:szCs w:val="23"/>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rPr>
                <w:rFonts w:ascii="Times New Roman" w:hAnsi="Times New Roman"/>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392" w:rsidRDefault="00583392">
            <w:pPr>
              <w:spacing w:after="0" w:line="240" w:lineRule="auto"/>
              <w:rPr>
                <w:rFonts w:ascii="Times New Roman" w:hAnsi="Times New Roman"/>
                <w:sz w:val="23"/>
                <w:szCs w:val="23"/>
              </w:rPr>
            </w:pPr>
          </w:p>
        </w:tc>
        <w:tc>
          <w:tcPr>
            <w:tcW w:w="1560"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3 розпорядження міського голови</w:t>
            </w:r>
          </w:p>
        </w:tc>
        <w:tc>
          <w:tcPr>
            <w:tcW w:w="1538" w:type="pct"/>
            <w:tcBorders>
              <w:top w:val="single" w:sz="4" w:space="0" w:color="000000"/>
              <w:left w:val="single" w:sz="4" w:space="0" w:color="000000"/>
              <w:bottom w:val="single" w:sz="4" w:space="0" w:color="000000"/>
              <w:right w:val="single" w:sz="4" w:space="0" w:color="000000"/>
            </w:tcBorders>
            <w:hideMark/>
          </w:tcPr>
          <w:p w:rsidR="00583392" w:rsidRDefault="00583392">
            <w:pPr>
              <w:spacing w:after="0" w:line="240" w:lineRule="auto"/>
              <w:rPr>
                <w:rFonts w:ascii="Times New Roman" w:hAnsi="Times New Roman"/>
                <w:sz w:val="23"/>
                <w:szCs w:val="23"/>
              </w:rPr>
            </w:pPr>
            <w:r>
              <w:rPr>
                <w:rFonts w:ascii="Times New Roman" w:hAnsi="Times New Roman"/>
                <w:sz w:val="23"/>
                <w:szCs w:val="23"/>
              </w:rPr>
              <w:t>4 розпорядження міського голови</w:t>
            </w:r>
          </w:p>
        </w:tc>
      </w:tr>
    </w:tbl>
    <w:p w:rsidR="00583392" w:rsidRDefault="00583392" w:rsidP="00583392">
      <w:pPr>
        <w:tabs>
          <w:tab w:val="left" w:pos="284"/>
          <w:tab w:val="left" w:pos="426"/>
          <w:tab w:val="left" w:pos="567"/>
          <w:tab w:val="left" w:pos="1134"/>
          <w:tab w:val="left" w:pos="7090"/>
          <w:tab w:val="left" w:pos="8085"/>
        </w:tabs>
        <w:spacing w:before="120" w:after="0" w:line="240" w:lineRule="auto"/>
        <w:ind w:left="851"/>
        <w:rPr>
          <w:rFonts w:ascii="Times New Roman" w:hAnsi="Times New Roman"/>
          <w:bCs/>
          <w:sz w:val="24"/>
          <w:szCs w:val="24"/>
          <w:u w:val="single"/>
          <w:bdr w:val="none" w:sz="0" w:space="0" w:color="auto" w:frame="1"/>
        </w:rPr>
      </w:pPr>
      <w:r>
        <w:rPr>
          <w:rFonts w:ascii="Times New Roman" w:hAnsi="Times New Roman"/>
          <w:sz w:val="24"/>
          <w:szCs w:val="24"/>
          <w:u w:val="single"/>
        </w:rPr>
        <w:t>12.Інформація щодо реалізації проектів.</w:t>
      </w:r>
    </w:p>
    <w:p w:rsidR="00583392" w:rsidRDefault="00583392" w:rsidP="00583392">
      <w:pPr>
        <w:tabs>
          <w:tab w:val="left" w:pos="567"/>
          <w:tab w:val="left" w:pos="851"/>
          <w:tab w:val="left" w:pos="5115"/>
          <w:tab w:val="left" w:pos="5672"/>
          <w:tab w:val="left" w:pos="6381"/>
          <w:tab w:val="left" w:pos="7090"/>
          <w:tab w:val="left" w:pos="8085"/>
        </w:tabs>
        <w:spacing w:after="0" w:line="240" w:lineRule="auto"/>
        <w:ind w:firstLine="709"/>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З метою отримання коштів з державного фонду регіонального розвитку підготовлено та подано на розгляд конкурсної комісії 9проектів регіонального розвитку.</w:t>
      </w:r>
    </w:p>
    <w:p w:rsidR="00583392" w:rsidRDefault="00583392" w:rsidP="00583392">
      <w:pPr>
        <w:tabs>
          <w:tab w:val="left" w:pos="851"/>
          <w:tab w:val="left" w:pos="5115"/>
          <w:tab w:val="left" w:pos="5672"/>
          <w:tab w:val="left" w:pos="6381"/>
          <w:tab w:val="left" w:pos="7090"/>
          <w:tab w:val="left" w:pos="8085"/>
        </w:tabs>
        <w:spacing w:after="0" w:line="240" w:lineRule="auto"/>
        <w:ind w:firstLine="709"/>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У 2018 році за рахунок коштів державного фонду регіонального розвитку реалізовано проект «Дамба Тернопільського ставу по вул. Руській у м. Тернополі – </w:t>
      </w:r>
      <w:proofErr w:type="spellStart"/>
      <w:r>
        <w:rPr>
          <w:rFonts w:ascii="Times New Roman" w:hAnsi="Times New Roman"/>
          <w:bCs/>
          <w:sz w:val="24"/>
          <w:szCs w:val="24"/>
          <w:bdr w:val="none" w:sz="0" w:space="0" w:color="auto" w:frame="1"/>
        </w:rPr>
        <w:t>реконструкція».Загальний</w:t>
      </w:r>
      <w:proofErr w:type="spellEnd"/>
      <w:r>
        <w:rPr>
          <w:rFonts w:ascii="Times New Roman" w:hAnsi="Times New Roman"/>
          <w:bCs/>
          <w:sz w:val="24"/>
          <w:szCs w:val="24"/>
          <w:bdr w:val="none" w:sz="0" w:space="0" w:color="auto" w:frame="1"/>
        </w:rPr>
        <w:t xml:space="preserve"> обсяг фінансування 9 487,706 тис. грн., з яких 7 687,706 тис. грн. – кошти ДФРР та 1 800,0 тис. грн. – кошти міського бюджету. На даний час завершено ремонті роботи.</w:t>
      </w:r>
    </w:p>
    <w:p w:rsidR="00583392" w:rsidRDefault="00583392" w:rsidP="00583392">
      <w:pPr>
        <w:pStyle w:val="a3"/>
        <w:tabs>
          <w:tab w:val="left" w:pos="567"/>
          <w:tab w:val="left" w:pos="851"/>
        </w:tabs>
        <w:spacing w:after="0"/>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У листопаді 2018 року підготовлено 6 інвестиційних проектів, які подані на конкурсний відбір інвестиційних програм та проектів регіонального розвитку, що можуть реалізовуватись за рахунок коштів державного фонду регіонального розвитку у 2019 році. </w:t>
      </w:r>
    </w:p>
    <w:p w:rsidR="00583392" w:rsidRDefault="00583392" w:rsidP="00583392">
      <w:pPr>
        <w:tabs>
          <w:tab w:val="left" w:pos="851"/>
          <w:tab w:val="left" w:pos="5115"/>
          <w:tab w:val="left" w:pos="5672"/>
          <w:tab w:val="left" w:pos="6381"/>
          <w:tab w:val="left" w:pos="7090"/>
          <w:tab w:val="left" w:pos="8085"/>
        </w:tabs>
        <w:spacing w:after="0" w:line="240" w:lineRule="auto"/>
        <w:ind w:firstLine="709"/>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За рахунок бюджетної програми КПКВК 2751320 «Будівництво футбольних полів із штучним покриттям в регіонах України» реалізовується </w:t>
      </w:r>
      <w:proofErr w:type="spellStart"/>
      <w:r>
        <w:rPr>
          <w:rFonts w:ascii="Times New Roman" w:hAnsi="Times New Roman"/>
          <w:bCs/>
          <w:sz w:val="24"/>
          <w:szCs w:val="24"/>
          <w:bdr w:val="none" w:sz="0" w:space="0" w:color="auto" w:frame="1"/>
        </w:rPr>
        <w:t>проект</w:t>
      </w:r>
      <w:r>
        <w:rPr>
          <w:rFonts w:ascii="Times New Roman" w:hAnsi="Times New Roman"/>
          <w:sz w:val="24"/>
          <w:szCs w:val="24"/>
          <w:lang w:eastAsia="ru-RU"/>
        </w:rPr>
        <w:t>«Будівництво</w:t>
      </w:r>
      <w:proofErr w:type="spellEnd"/>
      <w:r>
        <w:rPr>
          <w:rFonts w:ascii="Times New Roman" w:hAnsi="Times New Roman"/>
          <w:sz w:val="24"/>
          <w:szCs w:val="24"/>
          <w:lang w:eastAsia="ru-RU"/>
        </w:rPr>
        <w:t xml:space="preserve"> футбольного майданчика зі штучним покриттям у Тернопільській спеціалізованій школі І-ІІІ ступенів № 29 з поглибленим вивченням іноземних мов Тернопільської міської ради Тернопільської </w:t>
      </w:r>
      <w:proofErr w:type="spellStart"/>
      <w:r>
        <w:rPr>
          <w:rFonts w:ascii="Times New Roman" w:hAnsi="Times New Roman"/>
          <w:sz w:val="24"/>
          <w:szCs w:val="24"/>
          <w:lang w:eastAsia="ru-RU"/>
        </w:rPr>
        <w:t>області».</w:t>
      </w:r>
      <w:r>
        <w:rPr>
          <w:rFonts w:ascii="Times New Roman" w:hAnsi="Times New Roman"/>
          <w:bCs/>
          <w:sz w:val="24"/>
          <w:szCs w:val="24"/>
          <w:bdr w:val="none" w:sz="0" w:space="0" w:color="auto" w:frame="1"/>
        </w:rPr>
        <w:t>Вартість</w:t>
      </w:r>
      <w:proofErr w:type="spellEnd"/>
      <w:r>
        <w:rPr>
          <w:rFonts w:ascii="Times New Roman" w:hAnsi="Times New Roman"/>
          <w:bCs/>
          <w:sz w:val="24"/>
          <w:szCs w:val="24"/>
          <w:bdr w:val="none" w:sz="0" w:space="0" w:color="auto" w:frame="1"/>
        </w:rPr>
        <w:t xml:space="preserve"> проекту 1 487,315 тис. </w:t>
      </w:r>
      <w:proofErr w:type="spellStart"/>
      <w:r>
        <w:rPr>
          <w:rFonts w:ascii="Times New Roman" w:hAnsi="Times New Roman"/>
          <w:bCs/>
          <w:sz w:val="24"/>
          <w:szCs w:val="24"/>
          <w:bdr w:val="none" w:sz="0" w:space="0" w:color="auto" w:frame="1"/>
        </w:rPr>
        <w:t>грн</w:t>
      </w:r>
      <w:proofErr w:type="spellEnd"/>
      <w:r>
        <w:rPr>
          <w:rFonts w:ascii="Times New Roman" w:hAnsi="Times New Roman"/>
          <w:bCs/>
          <w:sz w:val="24"/>
          <w:szCs w:val="24"/>
          <w:bdr w:val="none" w:sz="0" w:space="0" w:color="auto" w:frame="1"/>
        </w:rPr>
        <w:t xml:space="preserve">, з державного бюджету виділено 743,658 тис. грн. та з міського бюджету –750,0 тис. грн. Здійснено авансовий платіж підрядній організації у розмірі 100% (1 448,062 тис. </w:t>
      </w:r>
      <w:proofErr w:type="spellStart"/>
      <w:r>
        <w:rPr>
          <w:rFonts w:ascii="Times New Roman" w:hAnsi="Times New Roman"/>
          <w:bCs/>
          <w:sz w:val="24"/>
          <w:szCs w:val="24"/>
          <w:bdr w:val="none" w:sz="0" w:space="0" w:color="auto" w:frame="1"/>
        </w:rPr>
        <w:t>грн</w:t>
      </w:r>
      <w:proofErr w:type="spellEnd"/>
      <w:r>
        <w:rPr>
          <w:rFonts w:ascii="Times New Roman" w:hAnsi="Times New Roman"/>
          <w:bCs/>
          <w:sz w:val="24"/>
          <w:szCs w:val="24"/>
          <w:bdr w:val="none" w:sz="0" w:space="0" w:color="auto" w:frame="1"/>
        </w:rPr>
        <w:t>). Роботи повністю завершено.</w:t>
      </w:r>
    </w:p>
    <w:p w:rsidR="00583392" w:rsidRDefault="00583392" w:rsidP="00583392">
      <w:pPr>
        <w:tabs>
          <w:tab w:val="left" w:pos="851"/>
          <w:tab w:val="left" w:pos="5115"/>
          <w:tab w:val="left" w:pos="5672"/>
          <w:tab w:val="left" w:pos="6381"/>
          <w:tab w:val="left" w:pos="7090"/>
          <w:tab w:val="left" w:pos="8085"/>
        </w:tabs>
        <w:spacing w:after="0" w:line="240" w:lineRule="auto"/>
        <w:ind w:firstLine="709"/>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У 2018 році підготовлено і подано документи ще на 2 футбольні поля, які успішно пройшли конкурс і відповідно до Наказу Міністерства регіонального розвитку, будівництва та житлово-комунального господарства України від 25.10.2018 р. № 280 «Про внесення змін до Переліку об’єктів, що фінансуються у 2018 році за рахунок бюджетної програми «Будівництво футбольних полів зі штучним покриттям в регіонах України» включено до Переліку об’єктів,а саме:</w:t>
      </w:r>
    </w:p>
    <w:p w:rsidR="00583392" w:rsidRDefault="00583392" w:rsidP="00583392">
      <w:pPr>
        <w:numPr>
          <w:ilvl w:val="0"/>
          <w:numId w:val="7"/>
        </w:numPr>
        <w:tabs>
          <w:tab w:val="left" w:pos="993"/>
          <w:tab w:val="left" w:pos="5115"/>
          <w:tab w:val="left" w:pos="5672"/>
          <w:tab w:val="left" w:pos="6381"/>
          <w:tab w:val="left" w:pos="7090"/>
          <w:tab w:val="left" w:pos="8085"/>
        </w:tabs>
        <w:spacing w:after="0" w:line="240" w:lineRule="auto"/>
        <w:ind w:left="0" w:firstLine="709"/>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lastRenderedPageBreak/>
        <w:t>«Футбольне поле із штучним покриттям Тернопільського міського стадіону по проспекту Степана Бандери, 15, в м. Тернополі – реконструкція». Кошти з державного бюджету – 596,363 тис. грн.</w:t>
      </w:r>
    </w:p>
    <w:p w:rsidR="00583392" w:rsidRDefault="00583392" w:rsidP="00583392">
      <w:pPr>
        <w:numPr>
          <w:ilvl w:val="0"/>
          <w:numId w:val="7"/>
        </w:numPr>
        <w:tabs>
          <w:tab w:val="left" w:pos="993"/>
          <w:tab w:val="left" w:pos="5115"/>
          <w:tab w:val="left" w:pos="5672"/>
          <w:tab w:val="left" w:pos="6381"/>
          <w:tab w:val="left" w:pos="7090"/>
          <w:tab w:val="left" w:pos="8085"/>
        </w:tabs>
        <w:spacing w:after="0" w:line="240" w:lineRule="auto"/>
        <w:ind w:left="0" w:firstLine="709"/>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«Футбольне поле № 3 із влаштуванням штучного покриття «Комплексна дитячо-юнацька спортивна школа з футболу та інших ігрових видів спорту» в парку «</w:t>
      </w:r>
      <w:proofErr w:type="spellStart"/>
      <w:r>
        <w:rPr>
          <w:rFonts w:ascii="Times New Roman" w:hAnsi="Times New Roman"/>
          <w:bCs/>
          <w:sz w:val="24"/>
          <w:szCs w:val="24"/>
          <w:bdr w:val="none" w:sz="0" w:space="0" w:color="auto" w:frame="1"/>
        </w:rPr>
        <w:t>Топільче</w:t>
      </w:r>
      <w:proofErr w:type="spellEnd"/>
      <w:r>
        <w:rPr>
          <w:rFonts w:ascii="Times New Roman" w:hAnsi="Times New Roman"/>
          <w:bCs/>
          <w:sz w:val="24"/>
          <w:szCs w:val="24"/>
          <w:bdr w:val="none" w:sz="0" w:space="0" w:color="auto" w:frame="1"/>
        </w:rPr>
        <w:t>» в м. Тернополі – реконструкція». Кошти з державного бюджету – 2</w:t>
      </w:r>
      <w:r>
        <w:rPr>
          <w:rFonts w:ascii="Times New Roman" w:hAnsi="Times New Roman"/>
          <w:bCs/>
          <w:sz w:val="24"/>
          <w:szCs w:val="24"/>
          <w:bdr w:val="none" w:sz="0" w:space="0" w:color="auto" w:frame="1"/>
          <w:lang w:val="de-DE"/>
        </w:rPr>
        <w:t> </w:t>
      </w:r>
      <w:r>
        <w:rPr>
          <w:rFonts w:ascii="Times New Roman" w:hAnsi="Times New Roman"/>
          <w:bCs/>
          <w:sz w:val="24"/>
          <w:szCs w:val="24"/>
          <w:bdr w:val="none" w:sz="0" w:space="0" w:color="auto" w:frame="1"/>
        </w:rPr>
        <w:t>176,417 тис. грн.</w:t>
      </w:r>
    </w:p>
    <w:p w:rsidR="00583392" w:rsidRDefault="00583392" w:rsidP="00583392">
      <w:pPr>
        <w:shd w:val="clear" w:color="auto" w:fill="FFFFFF"/>
        <w:tabs>
          <w:tab w:val="left" w:pos="567"/>
          <w:tab w:val="left" w:pos="851"/>
        </w:tabs>
        <w:spacing w:after="0" w:line="240" w:lineRule="auto"/>
        <w:ind w:firstLine="709"/>
        <w:jc w:val="both"/>
        <w:textAlignment w:val="baseline"/>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Активно проводилась робота щодо участі в Програмі транскордонного співробітництва Польща-Білорусь-Україна 2014-2020  підготовлено і подано для участі в конкурсному відборі міні-проектів3заявки, а саме:</w:t>
      </w:r>
    </w:p>
    <w:p w:rsidR="00583392" w:rsidRDefault="00583392" w:rsidP="00583392">
      <w:pPr>
        <w:pStyle w:val="a3"/>
        <w:numPr>
          <w:ilvl w:val="0"/>
          <w:numId w:val="8"/>
        </w:numPr>
        <w:tabs>
          <w:tab w:val="left" w:pos="567"/>
          <w:tab w:val="left" w:pos="993"/>
        </w:tabs>
        <w:spacing w:after="0" w:line="240" w:lineRule="auto"/>
        <w:ind w:left="0" w:firstLine="709"/>
        <w:jc w:val="both"/>
        <w:rPr>
          <w:rFonts w:ascii="Times New Roman" w:hAnsi="Times New Roman"/>
          <w:sz w:val="24"/>
          <w:szCs w:val="24"/>
          <w:shd w:val="clear" w:color="auto" w:fill="F9FAFA"/>
          <w:lang w:val="uk-UA"/>
        </w:rPr>
      </w:pPr>
      <w:r>
        <w:rPr>
          <w:rFonts w:ascii="Times New Roman" w:hAnsi="Times New Roman"/>
          <w:sz w:val="24"/>
          <w:szCs w:val="24"/>
          <w:shd w:val="clear" w:color="auto" w:fill="F9FAFA"/>
          <w:lang w:val="uk-UA"/>
        </w:rPr>
        <w:t xml:space="preserve">«Пізнаймо один одного – українці в </w:t>
      </w:r>
      <w:proofErr w:type="spellStart"/>
      <w:r>
        <w:rPr>
          <w:rFonts w:ascii="Times New Roman" w:hAnsi="Times New Roman"/>
          <w:sz w:val="24"/>
          <w:szCs w:val="24"/>
          <w:shd w:val="clear" w:color="auto" w:fill="F9FAFA"/>
          <w:lang w:val="uk-UA"/>
        </w:rPr>
        <w:t>Сувалках</w:t>
      </w:r>
      <w:proofErr w:type="spellEnd"/>
      <w:r>
        <w:rPr>
          <w:rFonts w:ascii="Times New Roman" w:hAnsi="Times New Roman"/>
          <w:sz w:val="24"/>
          <w:szCs w:val="24"/>
          <w:shd w:val="clear" w:color="auto" w:fill="F9FAFA"/>
          <w:lang w:val="uk-UA"/>
        </w:rPr>
        <w:t>, поляки в Тернополі» (м. </w:t>
      </w:r>
      <w:proofErr w:type="spellStart"/>
      <w:r>
        <w:rPr>
          <w:rFonts w:ascii="Times New Roman" w:hAnsi="Times New Roman"/>
          <w:sz w:val="24"/>
          <w:szCs w:val="24"/>
          <w:shd w:val="clear" w:color="auto" w:fill="F9FAFA"/>
          <w:lang w:val="uk-UA"/>
        </w:rPr>
        <w:t>Сувалки</w:t>
      </w:r>
      <w:proofErr w:type="spellEnd"/>
      <w:r>
        <w:rPr>
          <w:rFonts w:ascii="Times New Roman" w:hAnsi="Times New Roman"/>
          <w:sz w:val="24"/>
          <w:szCs w:val="24"/>
          <w:shd w:val="clear" w:color="auto" w:fill="F9FAFA"/>
          <w:lang w:val="uk-UA"/>
        </w:rPr>
        <w:t>, Польща);</w:t>
      </w:r>
    </w:p>
    <w:p w:rsidR="00583392" w:rsidRDefault="00583392" w:rsidP="00583392">
      <w:pPr>
        <w:pStyle w:val="a3"/>
        <w:numPr>
          <w:ilvl w:val="0"/>
          <w:numId w:val="8"/>
        </w:numPr>
        <w:tabs>
          <w:tab w:val="left" w:pos="567"/>
          <w:tab w:val="left" w:pos="993"/>
        </w:tabs>
        <w:spacing w:after="0" w:line="240" w:lineRule="auto"/>
        <w:ind w:left="0" w:firstLine="709"/>
        <w:jc w:val="both"/>
        <w:rPr>
          <w:rFonts w:ascii="Times New Roman" w:hAnsi="Times New Roman"/>
          <w:sz w:val="24"/>
          <w:szCs w:val="24"/>
          <w:shd w:val="clear" w:color="auto" w:fill="F9FAFA"/>
          <w:lang w:val="uk-UA"/>
        </w:rPr>
      </w:pPr>
      <w:r>
        <w:rPr>
          <w:rFonts w:ascii="Times New Roman" w:hAnsi="Times New Roman"/>
          <w:sz w:val="24"/>
          <w:szCs w:val="24"/>
          <w:lang w:val="uk-UA"/>
        </w:rPr>
        <w:t>«Покращення туристичної привабливості транскордонної території шляхом промоції, збереження та охорони історичної та культурної спадщини в м. Тернопіль та м. Замостя» (м. Замостя, Польща);</w:t>
      </w:r>
    </w:p>
    <w:p w:rsidR="00583392" w:rsidRDefault="00583392" w:rsidP="00583392">
      <w:pPr>
        <w:pStyle w:val="a3"/>
        <w:numPr>
          <w:ilvl w:val="0"/>
          <w:numId w:val="8"/>
        </w:numPr>
        <w:tabs>
          <w:tab w:val="left" w:pos="567"/>
          <w:tab w:val="left" w:pos="993"/>
        </w:tabs>
        <w:spacing w:after="120" w:line="240" w:lineRule="auto"/>
        <w:ind w:left="0" w:firstLine="709"/>
        <w:jc w:val="both"/>
        <w:rPr>
          <w:rFonts w:ascii="Times New Roman" w:hAnsi="Times New Roman"/>
          <w:sz w:val="24"/>
          <w:szCs w:val="24"/>
          <w:shd w:val="clear" w:color="auto" w:fill="F9FAFA"/>
          <w:lang w:val="uk-UA"/>
        </w:rPr>
      </w:pPr>
      <w:r>
        <w:rPr>
          <w:rFonts w:ascii="Times New Roman" w:hAnsi="Times New Roman"/>
          <w:sz w:val="24"/>
          <w:szCs w:val="24"/>
          <w:lang w:val="uk-UA"/>
        </w:rPr>
        <w:t xml:space="preserve">«Сеньйори як найкращі </w:t>
      </w:r>
      <w:proofErr w:type="spellStart"/>
      <w:r>
        <w:rPr>
          <w:rFonts w:ascii="Times New Roman" w:hAnsi="Times New Roman"/>
          <w:sz w:val="24"/>
          <w:szCs w:val="24"/>
          <w:lang w:val="uk-UA"/>
        </w:rPr>
        <w:t>промоутери</w:t>
      </w:r>
      <w:proofErr w:type="spellEnd"/>
      <w:r>
        <w:rPr>
          <w:rFonts w:ascii="Times New Roman" w:hAnsi="Times New Roman"/>
          <w:sz w:val="24"/>
          <w:szCs w:val="24"/>
          <w:lang w:val="uk-UA"/>
        </w:rPr>
        <w:t xml:space="preserve"> місцевої культури та історії прикордоння» (м. Люблін, Польща).</w:t>
      </w:r>
    </w:p>
    <w:tbl>
      <w:tblPr>
        <w:tblStyle w:val="a5"/>
        <w:tblW w:w="0" w:type="auto"/>
        <w:jc w:val="center"/>
        <w:tblInd w:w="0" w:type="dxa"/>
        <w:tblLook w:val="04A0"/>
      </w:tblPr>
      <w:tblGrid>
        <w:gridCol w:w="4600"/>
        <w:gridCol w:w="1134"/>
        <w:gridCol w:w="1194"/>
      </w:tblGrid>
      <w:tr w:rsidR="00583392" w:rsidTr="00583392">
        <w:trPr>
          <w:jc w:val="center"/>
        </w:trPr>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3392" w:rsidRPr="00583392" w:rsidRDefault="00583392">
            <w:pPr>
              <w:tabs>
                <w:tab w:val="left" w:pos="567"/>
                <w:tab w:val="left" w:pos="851"/>
              </w:tabs>
              <w:rPr>
                <w:rFonts w:ascii="Times New Roman" w:hAnsi="Times New Roman"/>
                <w:sz w:val="23"/>
                <w:szCs w:val="23"/>
                <w:lang w:val="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 xml:space="preserve">2017 </w:t>
            </w:r>
            <w:proofErr w:type="spellStart"/>
            <w:r>
              <w:rPr>
                <w:rFonts w:ascii="Times New Roman" w:hAnsi="Times New Roman"/>
                <w:sz w:val="23"/>
                <w:szCs w:val="23"/>
              </w:rPr>
              <w:t>рік</w:t>
            </w:r>
            <w:proofErr w:type="spellEnd"/>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 xml:space="preserve">2018 </w:t>
            </w:r>
            <w:proofErr w:type="spellStart"/>
            <w:r>
              <w:rPr>
                <w:rFonts w:ascii="Times New Roman" w:hAnsi="Times New Roman"/>
                <w:sz w:val="23"/>
                <w:szCs w:val="23"/>
              </w:rPr>
              <w:t>рік</w:t>
            </w:r>
            <w:proofErr w:type="spellEnd"/>
          </w:p>
        </w:tc>
      </w:tr>
      <w:tr w:rsidR="00583392" w:rsidTr="00583392">
        <w:trPr>
          <w:jc w:val="center"/>
        </w:trPr>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Pr="00583392" w:rsidRDefault="00583392">
            <w:pPr>
              <w:tabs>
                <w:tab w:val="left" w:pos="567"/>
                <w:tab w:val="left" w:pos="851"/>
              </w:tabs>
              <w:rPr>
                <w:rFonts w:ascii="Times New Roman" w:hAnsi="Times New Roman"/>
                <w:sz w:val="23"/>
                <w:szCs w:val="23"/>
                <w:lang w:val="ru-RU"/>
              </w:rPr>
            </w:pPr>
            <w:r w:rsidRPr="00583392">
              <w:rPr>
                <w:rFonts w:ascii="Times New Roman" w:hAnsi="Times New Roman"/>
                <w:sz w:val="23"/>
                <w:szCs w:val="23"/>
                <w:lang w:val="ru-RU"/>
              </w:rPr>
              <w:t>Підготовлено і подано на конкурс проекти регіонального розвитку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16</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9</w:t>
            </w:r>
          </w:p>
        </w:tc>
      </w:tr>
      <w:tr w:rsidR="00583392" w:rsidTr="00583392">
        <w:trPr>
          <w:jc w:val="center"/>
        </w:trPr>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392" w:rsidRDefault="00583392">
            <w:pPr>
              <w:tabs>
                <w:tab w:val="left" w:pos="567"/>
                <w:tab w:val="left" w:pos="851"/>
              </w:tabs>
              <w:rPr>
                <w:rFonts w:ascii="Times New Roman" w:hAnsi="Times New Roman"/>
                <w:sz w:val="23"/>
                <w:szCs w:val="23"/>
              </w:rPr>
            </w:pPr>
            <w:proofErr w:type="spellStart"/>
            <w:r>
              <w:rPr>
                <w:rFonts w:ascii="Times New Roman" w:hAnsi="Times New Roman"/>
                <w:sz w:val="23"/>
                <w:szCs w:val="23"/>
              </w:rPr>
              <w:t>Реалізовано</w:t>
            </w:r>
            <w:proofErr w:type="spellEnd"/>
            <w:r>
              <w:rPr>
                <w:rFonts w:ascii="Times New Roman" w:hAnsi="Times New Roman"/>
                <w:sz w:val="23"/>
                <w:szCs w:val="23"/>
              </w:rPr>
              <w:t xml:space="preserve"> </w:t>
            </w:r>
            <w:proofErr w:type="spellStart"/>
            <w:r>
              <w:rPr>
                <w:rFonts w:ascii="Times New Roman" w:hAnsi="Times New Roman"/>
                <w:sz w:val="23"/>
                <w:szCs w:val="23"/>
              </w:rPr>
              <w:t>проектів</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2</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3392" w:rsidRDefault="00583392">
            <w:pPr>
              <w:tabs>
                <w:tab w:val="left" w:pos="567"/>
                <w:tab w:val="left" w:pos="851"/>
              </w:tabs>
              <w:jc w:val="center"/>
              <w:rPr>
                <w:rFonts w:ascii="Times New Roman" w:hAnsi="Times New Roman"/>
                <w:sz w:val="23"/>
                <w:szCs w:val="23"/>
              </w:rPr>
            </w:pPr>
            <w:r>
              <w:rPr>
                <w:rFonts w:ascii="Times New Roman" w:hAnsi="Times New Roman"/>
                <w:sz w:val="23"/>
                <w:szCs w:val="23"/>
              </w:rPr>
              <w:t>1</w:t>
            </w:r>
          </w:p>
        </w:tc>
      </w:tr>
    </w:tbl>
    <w:p w:rsidR="00583392" w:rsidRDefault="00583392" w:rsidP="00583392">
      <w:pPr>
        <w:widowControl w:val="0"/>
        <w:tabs>
          <w:tab w:val="left" w:pos="426"/>
          <w:tab w:val="left" w:pos="567"/>
          <w:tab w:val="left" w:pos="1134"/>
        </w:tabs>
        <w:spacing w:before="120" w:after="0" w:line="240" w:lineRule="auto"/>
        <w:jc w:val="both"/>
        <w:rPr>
          <w:rFonts w:ascii="Times New Roman" w:hAnsi="Times New Roman"/>
          <w:sz w:val="24"/>
          <w:szCs w:val="24"/>
          <w:u w:val="single"/>
        </w:rPr>
      </w:pPr>
      <w:r>
        <w:rPr>
          <w:rFonts w:ascii="Times New Roman" w:hAnsi="Times New Roman"/>
          <w:sz w:val="24"/>
          <w:szCs w:val="24"/>
          <w:u w:val="single"/>
        </w:rPr>
        <w:t>13.Управління здійснювало моніторинг стану реалізації проектів «Громадського бюджету 2018 року».</w:t>
      </w:r>
    </w:p>
    <w:p w:rsidR="00583392" w:rsidRDefault="00583392" w:rsidP="00583392">
      <w:pPr>
        <w:widowControl w:val="0"/>
        <w:tabs>
          <w:tab w:val="left" w:pos="426"/>
          <w:tab w:val="left" w:pos="567"/>
        </w:tabs>
        <w:spacing w:after="0" w:line="240" w:lineRule="auto"/>
        <w:ind w:left="142" w:hanging="142"/>
        <w:jc w:val="both"/>
        <w:rPr>
          <w:rFonts w:ascii="Times New Roman" w:hAnsi="Times New Roman"/>
          <w:sz w:val="24"/>
          <w:szCs w:val="24"/>
        </w:rPr>
      </w:pPr>
      <w:r>
        <w:rPr>
          <w:rFonts w:ascii="Times New Roman" w:hAnsi="Times New Roman"/>
          <w:sz w:val="24"/>
          <w:szCs w:val="24"/>
        </w:rPr>
        <w:t>У рамках Громадського бюджету в м. Тернополі в 2018 році реалізовується 18 проектів: 7 великих і 11 малих,на які виділено з міського бюджету кошти в сумі 9 400 000,00 грн.</w:t>
      </w:r>
    </w:p>
    <w:p w:rsidR="00583392" w:rsidRDefault="00583392" w:rsidP="00583392">
      <w:pPr>
        <w:tabs>
          <w:tab w:val="left" w:pos="426"/>
        </w:tabs>
        <w:spacing w:line="240" w:lineRule="auto"/>
        <w:ind w:left="142" w:hanging="142"/>
        <w:rPr>
          <w:rFonts w:ascii="Times New Roman" w:hAnsi="Times New Roman"/>
          <w:sz w:val="24"/>
          <w:szCs w:val="24"/>
        </w:rPr>
      </w:pPr>
      <w:r>
        <w:rPr>
          <w:rFonts w:ascii="Times New Roman" w:hAnsi="Times New Roman"/>
          <w:sz w:val="24"/>
          <w:szCs w:val="24"/>
        </w:rPr>
        <w:t>Станом на 01.12.2018 року використано кошти в сумі 6 824 996,99 грн.</w:t>
      </w:r>
    </w:p>
    <w:p w:rsidR="00583392" w:rsidRDefault="00583392" w:rsidP="00583392">
      <w:pPr>
        <w:numPr>
          <w:ilvl w:val="0"/>
          <w:numId w:val="9"/>
        </w:numPr>
        <w:shd w:val="clear" w:color="auto" w:fill="FEFEFE"/>
        <w:tabs>
          <w:tab w:val="left" w:pos="426"/>
          <w:tab w:val="left" w:pos="993"/>
          <w:tab w:val="left" w:pos="1134"/>
        </w:tabs>
        <w:spacing w:after="90" w:line="240" w:lineRule="auto"/>
        <w:ind w:left="284" w:hanging="284"/>
        <w:jc w:val="both"/>
        <w:rPr>
          <w:rFonts w:ascii="Times New Roman" w:hAnsi="Times New Roman"/>
          <w:sz w:val="24"/>
          <w:szCs w:val="24"/>
          <w:u w:val="single"/>
        </w:rPr>
      </w:pPr>
      <w:r>
        <w:rPr>
          <w:rFonts w:ascii="Times New Roman" w:hAnsi="Times New Roman"/>
          <w:sz w:val="24"/>
          <w:szCs w:val="24"/>
          <w:u w:val="single"/>
        </w:rPr>
        <w:t>Проведено розрахунки щодо доцільності перегляду тарифів на перевезення пасажирів автомобільним та електричним транспортом та цін (тарифів)на ритуальні послуги.</w:t>
      </w:r>
    </w:p>
    <w:p w:rsidR="00583392" w:rsidRDefault="00583392" w:rsidP="00583392">
      <w:pPr>
        <w:numPr>
          <w:ilvl w:val="0"/>
          <w:numId w:val="9"/>
        </w:numPr>
        <w:shd w:val="clear" w:color="auto" w:fill="FEFEFE"/>
        <w:tabs>
          <w:tab w:val="left" w:pos="426"/>
        </w:tabs>
        <w:spacing w:after="0" w:line="240" w:lineRule="auto"/>
        <w:ind w:left="0" w:firstLine="0"/>
        <w:jc w:val="both"/>
        <w:rPr>
          <w:rFonts w:ascii="Times New Roman" w:hAnsi="Times New Roman"/>
          <w:sz w:val="24"/>
          <w:szCs w:val="24"/>
          <w:u w:val="single"/>
        </w:rPr>
      </w:pPr>
      <w:r>
        <w:rPr>
          <w:rFonts w:ascii="Times New Roman" w:hAnsi="Times New Roman"/>
          <w:sz w:val="24"/>
          <w:szCs w:val="24"/>
          <w:u w:val="single"/>
        </w:rPr>
        <w:t>Оновлено інформацію на рейтинг на муніципальну статистику</w:t>
      </w:r>
    </w:p>
    <w:p w:rsidR="00583392" w:rsidRDefault="00583392" w:rsidP="00583392">
      <w:pPr>
        <w:tabs>
          <w:tab w:val="left" w:pos="426"/>
        </w:tabs>
        <w:spacing w:after="0" w:line="240" w:lineRule="auto"/>
        <w:ind w:left="142"/>
        <w:jc w:val="both"/>
        <w:outlineLvl w:val="3"/>
        <w:rPr>
          <w:rFonts w:ascii="Times New Roman" w:hAnsi="Times New Roman"/>
          <w:sz w:val="24"/>
          <w:szCs w:val="24"/>
        </w:rPr>
      </w:pPr>
      <w:r>
        <w:rPr>
          <w:rFonts w:ascii="Times New Roman" w:hAnsi="Times New Roman"/>
          <w:sz w:val="24"/>
          <w:szCs w:val="24"/>
        </w:rPr>
        <w:t xml:space="preserve">У 2018 році підвищено рейтинг інвестиційної привабливості м. Тернополя з рівня </w:t>
      </w:r>
      <w:proofErr w:type="spellStart"/>
      <w:r>
        <w:rPr>
          <w:rFonts w:ascii="Times New Roman" w:hAnsi="Times New Roman"/>
          <w:sz w:val="24"/>
          <w:szCs w:val="24"/>
        </w:rPr>
        <w:t>invВВВ+</w:t>
      </w:r>
      <w:proofErr w:type="spellEnd"/>
      <w:r>
        <w:rPr>
          <w:rFonts w:ascii="Times New Roman" w:hAnsi="Times New Roman"/>
          <w:sz w:val="24"/>
          <w:szCs w:val="24"/>
        </w:rPr>
        <w:t xml:space="preserve"> до </w:t>
      </w:r>
      <w:proofErr w:type="spellStart"/>
      <w:r>
        <w:rPr>
          <w:rFonts w:ascii="Times New Roman" w:hAnsi="Times New Roman"/>
          <w:sz w:val="24"/>
          <w:szCs w:val="24"/>
        </w:rPr>
        <w:t>invА-</w:t>
      </w:r>
      <w:proofErr w:type="spellEnd"/>
      <w:r>
        <w:rPr>
          <w:rFonts w:ascii="Times New Roman" w:hAnsi="Times New Roman"/>
          <w:sz w:val="24"/>
          <w:szCs w:val="24"/>
        </w:rPr>
        <w:t xml:space="preserve"> (висока інвестиційна привабливість) і кредитний рейтинг м. Тернополя на рівні </w:t>
      </w:r>
      <w:proofErr w:type="spellStart"/>
      <w:r>
        <w:rPr>
          <w:rFonts w:ascii="Times New Roman" w:hAnsi="Times New Roman"/>
          <w:sz w:val="24"/>
          <w:szCs w:val="24"/>
        </w:rPr>
        <w:t>uaВВВ</w:t>
      </w:r>
      <w:proofErr w:type="spellEnd"/>
      <w:r>
        <w:rPr>
          <w:rFonts w:ascii="Times New Roman" w:hAnsi="Times New Roman"/>
          <w:sz w:val="24"/>
          <w:szCs w:val="24"/>
        </w:rPr>
        <w:t xml:space="preserve"> зі збереженням прогнозу «стабільний», а також оновлено інвестиційний паспорт міста.</w:t>
      </w:r>
    </w:p>
    <w:p w:rsidR="00583392" w:rsidRDefault="00583392" w:rsidP="00583392">
      <w:pPr>
        <w:tabs>
          <w:tab w:val="left" w:pos="426"/>
        </w:tabs>
        <w:spacing w:after="0" w:line="240" w:lineRule="auto"/>
        <w:ind w:left="142"/>
        <w:jc w:val="both"/>
        <w:outlineLvl w:val="3"/>
        <w:rPr>
          <w:rFonts w:ascii="Times New Roman" w:hAnsi="Times New Roman"/>
          <w:sz w:val="24"/>
          <w:szCs w:val="24"/>
        </w:rPr>
      </w:pPr>
    </w:p>
    <w:p w:rsidR="00583392" w:rsidRDefault="00583392" w:rsidP="00583392">
      <w:pPr>
        <w:spacing w:after="120" w:line="240" w:lineRule="auto"/>
        <w:ind w:firstLine="709"/>
        <w:jc w:val="both"/>
        <w:rPr>
          <w:rFonts w:ascii="Times New Roman" w:hAnsi="Times New Roman"/>
          <w:b/>
          <w:sz w:val="24"/>
          <w:szCs w:val="24"/>
          <w:u w:val="single"/>
        </w:rPr>
      </w:pPr>
      <w:r>
        <w:rPr>
          <w:rFonts w:ascii="Times New Roman" w:hAnsi="Times New Roman"/>
          <w:sz w:val="24"/>
          <w:szCs w:val="24"/>
        </w:rPr>
        <w:t>Роботу управління економіки, промисловості та праці Тернопільської міської ради забезпечує 13 штатних одиниць із затвердженим фондом заробітної плати за посадовими окладами та розміром преміювання в межах встановленого розміру премій відповідно до посадового окладу, згідно доручення міського голови.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51"/>
        <w:gridCol w:w="2747"/>
        <w:gridCol w:w="2464"/>
      </w:tblGrid>
      <w:tr w:rsidR="00583392" w:rsidTr="00583392">
        <w:trPr>
          <w:trHeight w:val="62"/>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Період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Кількість працівників</w:t>
            </w:r>
          </w:p>
        </w:tc>
        <w:tc>
          <w:tcPr>
            <w:tcW w:w="2747" w:type="dxa"/>
            <w:tcBorders>
              <w:top w:val="single" w:sz="4" w:space="0" w:color="000000"/>
              <w:left w:val="single" w:sz="4" w:space="0" w:color="000000"/>
              <w:bottom w:val="single" w:sz="4" w:space="0" w:color="000000"/>
              <w:right w:val="single" w:sz="4" w:space="0" w:color="000000"/>
            </w:tcBorders>
            <w:vAlign w:val="center"/>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Загальний фонд оплати праці (</w:t>
            </w:r>
            <w:proofErr w:type="spellStart"/>
            <w:r>
              <w:rPr>
                <w:rFonts w:ascii="Times New Roman" w:hAnsi="Times New Roman"/>
                <w:sz w:val="23"/>
                <w:szCs w:val="23"/>
              </w:rPr>
              <w:t>тис.грн</w:t>
            </w:r>
            <w:proofErr w:type="spellEnd"/>
            <w:r>
              <w:rPr>
                <w:rFonts w:ascii="Times New Roman" w:hAnsi="Times New Roman"/>
                <w:sz w:val="23"/>
                <w:szCs w:val="23"/>
              </w:rPr>
              <w:t>.)</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У т.ч. премія</w:t>
            </w:r>
          </w:p>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w:t>
            </w:r>
            <w:proofErr w:type="spellStart"/>
            <w:r>
              <w:rPr>
                <w:rFonts w:ascii="Times New Roman" w:hAnsi="Times New Roman"/>
                <w:sz w:val="23"/>
                <w:szCs w:val="23"/>
              </w:rPr>
              <w:t>тис.грн</w:t>
            </w:r>
            <w:proofErr w:type="spellEnd"/>
            <w:r>
              <w:rPr>
                <w:rFonts w:ascii="Times New Roman" w:hAnsi="Times New Roman"/>
                <w:sz w:val="23"/>
                <w:szCs w:val="23"/>
              </w:rPr>
              <w:t>.)</w:t>
            </w:r>
          </w:p>
        </w:tc>
      </w:tr>
      <w:tr w:rsidR="00583392" w:rsidTr="00583392">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both"/>
              <w:rPr>
                <w:rFonts w:ascii="Times New Roman" w:hAnsi="Times New Roman"/>
                <w:sz w:val="23"/>
                <w:szCs w:val="23"/>
              </w:rPr>
            </w:pPr>
            <w:r>
              <w:rPr>
                <w:rFonts w:ascii="Times New Roman" w:hAnsi="Times New Roman"/>
                <w:sz w:val="23"/>
                <w:szCs w:val="23"/>
              </w:rPr>
              <w:t>2017р.</w:t>
            </w:r>
          </w:p>
        </w:tc>
        <w:tc>
          <w:tcPr>
            <w:tcW w:w="2551"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12</w:t>
            </w:r>
          </w:p>
        </w:tc>
        <w:tc>
          <w:tcPr>
            <w:tcW w:w="2747"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1894,6</w:t>
            </w:r>
          </w:p>
        </w:tc>
        <w:tc>
          <w:tcPr>
            <w:tcW w:w="2464"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525,2</w:t>
            </w:r>
          </w:p>
        </w:tc>
      </w:tr>
      <w:tr w:rsidR="00583392" w:rsidTr="00583392">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both"/>
              <w:rPr>
                <w:rFonts w:ascii="Times New Roman" w:hAnsi="Times New Roman"/>
                <w:sz w:val="23"/>
                <w:szCs w:val="23"/>
              </w:rPr>
            </w:pPr>
            <w:r>
              <w:rPr>
                <w:rFonts w:ascii="Times New Roman" w:hAnsi="Times New Roman"/>
                <w:sz w:val="23"/>
                <w:szCs w:val="23"/>
              </w:rPr>
              <w:t>11 місяців 2018р.</w:t>
            </w:r>
          </w:p>
        </w:tc>
        <w:tc>
          <w:tcPr>
            <w:tcW w:w="2551"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13</w:t>
            </w:r>
          </w:p>
        </w:tc>
        <w:tc>
          <w:tcPr>
            <w:tcW w:w="2747"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1956,1</w:t>
            </w:r>
          </w:p>
        </w:tc>
        <w:tc>
          <w:tcPr>
            <w:tcW w:w="2464" w:type="dxa"/>
            <w:tcBorders>
              <w:top w:val="single" w:sz="4" w:space="0" w:color="000000"/>
              <w:left w:val="single" w:sz="4" w:space="0" w:color="000000"/>
              <w:bottom w:val="single" w:sz="4" w:space="0" w:color="000000"/>
              <w:right w:val="single" w:sz="4" w:space="0" w:color="000000"/>
            </w:tcBorders>
            <w:hideMark/>
          </w:tcPr>
          <w:p w:rsidR="00583392" w:rsidRDefault="00583392">
            <w:pPr>
              <w:tabs>
                <w:tab w:val="left" w:pos="0"/>
              </w:tabs>
              <w:spacing w:after="0" w:line="240" w:lineRule="auto"/>
              <w:jc w:val="center"/>
              <w:rPr>
                <w:rFonts w:ascii="Times New Roman" w:hAnsi="Times New Roman"/>
                <w:sz w:val="23"/>
                <w:szCs w:val="23"/>
              </w:rPr>
            </w:pPr>
            <w:r>
              <w:rPr>
                <w:rFonts w:ascii="Times New Roman" w:hAnsi="Times New Roman"/>
                <w:sz w:val="23"/>
                <w:szCs w:val="23"/>
              </w:rPr>
              <w:t>315,3</w:t>
            </w:r>
          </w:p>
        </w:tc>
      </w:tr>
    </w:tbl>
    <w:p w:rsidR="00583392" w:rsidRDefault="00583392" w:rsidP="00583392">
      <w:pPr>
        <w:pStyle w:val="a3"/>
        <w:widowControl w:val="0"/>
        <w:spacing w:after="0"/>
        <w:ind w:left="0" w:firstLine="567"/>
        <w:jc w:val="both"/>
        <w:rPr>
          <w:rFonts w:ascii="Times New Roman" w:hAnsi="Times New Roman"/>
          <w:sz w:val="24"/>
          <w:szCs w:val="24"/>
          <w:lang w:val="uk-UA" w:eastAsia="ru-RU"/>
        </w:rPr>
      </w:pPr>
    </w:p>
    <w:p w:rsidR="00583392" w:rsidRDefault="00583392" w:rsidP="00583392">
      <w:pPr>
        <w:pStyle w:val="a3"/>
        <w:widowControl w:val="0"/>
        <w:spacing w:after="0"/>
        <w:ind w:left="0" w:firstLine="567"/>
        <w:jc w:val="both"/>
        <w:rPr>
          <w:rFonts w:ascii="Times New Roman" w:hAnsi="Times New Roman"/>
          <w:sz w:val="24"/>
          <w:szCs w:val="24"/>
          <w:lang w:val="uk-UA" w:eastAsia="ru-RU"/>
        </w:rPr>
      </w:pPr>
    </w:p>
    <w:p w:rsidR="00583392" w:rsidRDefault="00583392" w:rsidP="00583392">
      <w:pPr>
        <w:pStyle w:val="a3"/>
        <w:widowControl w:val="0"/>
        <w:spacing w:after="0"/>
        <w:ind w:left="0" w:firstLine="567"/>
        <w:jc w:val="both"/>
        <w:rPr>
          <w:rFonts w:ascii="Times New Roman" w:hAnsi="Times New Roman"/>
          <w:sz w:val="24"/>
          <w:szCs w:val="24"/>
          <w:lang w:val="uk-UA" w:eastAsia="ru-RU"/>
        </w:rPr>
      </w:pPr>
    </w:p>
    <w:p w:rsidR="00583392" w:rsidRDefault="00583392" w:rsidP="00583392">
      <w:pPr>
        <w:pStyle w:val="a3"/>
        <w:widowControl w:val="0"/>
        <w:spacing w:after="0"/>
        <w:ind w:left="0"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       Міський голова </w:t>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С.В.</w:t>
      </w:r>
      <w:proofErr w:type="spellStart"/>
      <w:r>
        <w:rPr>
          <w:rFonts w:ascii="Times New Roman" w:hAnsi="Times New Roman"/>
          <w:sz w:val="24"/>
          <w:szCs w:val="24"/>
          <w:lang w:val="uk-UA" w:eastAsia="ru-RU"/>
        </w:rPr>
        <w:t>Надал</w:t>
      </w:r>
      <w:proofErr w:type="spellEnd"/>
    </w:p>
    <w:p w:rsidR="00000000" w:rsidRDefault="00583392"/>
    <w:sectPr w:rsidR="00000000" w:rsidSect="00583392">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4CDC"/>
    <w:multiLevelType w:val="hybridMultilevel"/>
    <w:tmpl w:val="94AC33E6"/>
    <w:lvl w:ilvl="0" w:tplc="AED0055A">
      <w:numFmt w:val="bullet"/>
      <w:lvlText w:val="-"/>
      <w:lvlJc w:val="left"/>
      <w:pPr>
        <w:ind w:left="128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F417BF7"/>
    <w:multiLevelType w:val="hybridMultilevel"/>
    <w:tmpl w:val="8A56797A"/>
    <w:lvl w:ilvl="0" w:tplc="AD0E7F8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623FB9"/>
    <w:multiLevelType w:val="hybridMultilevel"/>
    <w:tmpl w:val="4678EDCA"/>
    <w:lvl w:ilvl="0" w:tplc="5F0A5AEA">
      <w:start w:val="14"/>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F7419B"/>
    <w:multiLevelType w:val="hybridMultilevel"/>
    <w:tmpl w:val="524476D4"/>
    <w:lvl w:ilvl="0" w:tplc="9BE2947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5A037D46"/>
    <w:multiLevelType w:val="hybridMultilevel"/>
    <w:tmpl w:val="532E5D2A"/>
    <w:lvl w:ilvl="0" w:tplc="AED0055A">
      <w:numFmt w:val="bullet"/>
      <w:lvlText w:val="-"/>
      <w:lvlJc w:val="left"/>
      <w:pPr>
        <w:ind w:left="142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6E3B134E"/>
    <w:multiLevelType w:val="hybridMultilevel"/>
    <w:tmpl w:val="81868636"/>
    <w:lvl w:ilvl="0" w:tplc="AED0055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6FE57C02"/>
    <w:multiLevelType w:val="hybridMultilevel"/>
    <w:tmpl w:val="F2B223F8"/>
    <w:lvl w:ilvl="0" w:tplc="7DFA56CA">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560C01"/>
    <w:multiLevelType w:val="hybridMultilevel"/>
    <w:tmpl w:val="9C18D2EA"/>
    <w:lvl w:ilvl="0" w:tplc="AED0055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7BB52844"/>
    <w:multiLevelType w:val="hybridMultilevel"/>
    <w:tmpl w:val="01C8C882"/>
    <w:lvl w:ilvl="0" w:tplc="AED0055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3392"/>
    <w:rsid w:val="005833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34"/>
    <w:unhideWhenUsed/>
    <w:qFormat/>
    <w:rsid w:val="00583392"/>
    <w:pPr>
      <w:ind w:left="720"/>
      <w:contextualSpacing/>
    </w:pPr>
    <w:rPr>
      <w:rFonts w:ascii="Calibri" w:eastAsia="Times New Roman" w:hAnsi="Calibri" w:cs="Times New Roman"/>
      <w:lang w:val="ru-RU" w:eastAsia="en-US"/>
    </w:rPr>
  </w:style>
  <w:style w:type="paragraph" w:customStyle="1" w:styleId="a4">
    <w:name w:val="Нормальний текст"/>
    <w:basedOn w:val="a"/>
    <w:uiPriority w:val="99"/>
    <w:rsid w:val="00583392"/>
    <w:pPr>
      <w:spacing w:before="120" w:after="0" w:line="240" w:lineRule="auto"/>
      <w:ind w:firstLine="567"/>
    </w:pPr>
    <w:rPr>
      <w:rFonts w:ascii="Antiqua" w:eastAsia="Times New Roman" w:hAnsi="Antiqua" w:cs="Times New Roman"/>
      <w:sz w:val="26"/>
      <w:szCs w:val="20"/>
      <w:lang w:eastAsia="ru-RU"/>
    </w:rPr>
  </w:style>
  <w:style w:type="table" w:styleId="a5">
    <w:name w:val="Table Grid"/>
    <w:basedOn w:val="a1"/>
    <w:rsid w:val="00583392"/>
    <w:pPr>
      <w:spacing w:after="0" w:line="240" w:lineRule="auto"/>
    </w:pPr>
    <w:rPr>
      <w:rFonts w:ascii="Calibri" w:eastAsia="Times New Roman" w:hAnsi="Calibri" w:cs="Times New Roman"/>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4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9977</Words>
  <Characters>5688</Characters>
  <Application>Microsoft Office Word</Application>
  <DocSecurity>0</DocSecurity>
  <Lines>47</Lines>
  <Paragraphs>31</Paragraphs>
  <ScaleCrop>false</ScaleCrop>
  <Company>Reanimator Extreme Edition</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2018-12-14T10:47:00Z</dcterms:created>
  <dcterms:modified xsi:type="dcterms:W3CDTF">2018-12-14T10:47:00Z</dcterms:modified>
</cp:coreProperties>
</file>