
<file path=[Content_Types].xml><?xml version="1.0" encoding="utf-8"?>
<Types xmlns="http://schemas.openxmlformats.org/package/2006/content-types">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DA" w:rsidRDefault="008F52DA" w:rsidP="00066969">
      <w:pPr>
        <w:spacing w:line="276" w:lineRule="auto"/>
        <w:ind w:firstLine="851"/>
        <w:jc w:val="right"/>
        <w:rPr>
          <w:lang w:val="uk-UA"/>
        </w:rPr>
      </w:pPr>
      <w:r>
        <w:rPr>
          <w:lang w:val="uk-UA"/>
        </w:rPr>
        <w:t>Додаток до рішення</w:t>
      </w:r>
    </w:p>
    <w:p w:rsidR="008F52DA" w:rsidRDefault="008F52DA" w:rsidP="00066969">
      <w:pPr>
        <w:spacing w:line="276" w:lineRule="auto"/>
        <w:ind w:firstLine="851"/>
        <w:jc w:val="right"/>
        <w:rPr>
          <w:lang w:val="uk-UA"/>
        </w:rPr>
      </w:pPr>
      <w:r>
        <w:rPr>
          <w:lang w:val="uk-UA"/>
        </w:rPr>
        <w:t>виконавчого комітету</w:t>
      </w:r>
    </w:p>
    <w:p w:rsidR="008F52DA" w:rsidRPr="007D4E50" w:rsidRDefault="008037C2" w:rsidP="00066969">
      <w:pPr>
        <w:spacing w:line="276" w:lineRule="auto"/>
        <w:ind w:firstLine="851"/>
        <w:jc w:val="right"/>
        <w:rPr>
          <w:lang w:val="uk-UA"/>
        </w:rPr>
      </w:pPr>
      <w:r>
        <w:rPr>
          <w:lang w:val="uk-UA"/>
        </w:rPr>
        <w:t>від 21.11.2018 року №889</w:t>
      </w:r>
    </w:p>
    <w:p w:rsidR="008F52DA" w:rsidRPr="007D4E50" w:rsidRDefault="008F52DA" w:rsidP="00066969">
      <w:pPr>
        <w:spacing w:before="240" w:after="120" w:line="276" w:lineRule="auto"/>
        <w:ind w:firstLine="851"/>
        <w:jc w:val="center"/>
        <w:rPr>
          <w:b/>
          <w:lang w:val="uk-UA"/>
        </w:rPr>
      </w:pPr>
      <w:r w:rsidRPr="007D4E50">
        <w:rPr>
          <w:b/>
          <w:lang w:val="uk-UA"/>
        </w:rPr>
        <w:t>Звіт про роботу управління стратегічного розвитку міста за 2018 рік</w:t>
      </w:r>
    </w:p>
    <w:p w:rsidR="008F52DA" w:rsidRPr="007D4E50" w:rsidRDefault="008F52DA" w:rsidP="00066969">
      <w:pPr>
        <w:widowControl w:val="0"/>
        <w:spacing w:line="276" w:lineRule="auto"/>
        <w:ind w:firstLine="851"/>
        <w:jc w:val="both"/>
        <w:rPr>
          <w:lang w:val="uk-UA"/>
        </w:rPr>
      </w:pPr>
    </w:p>
    <w:p w:rsidR="008F52DA" w:rsidRPr="007D4E50" w:rsidRDefault="008F52DA" w:rsidP="00066969">
      <w:pPr>
        <w:widowControl w:val="0"/>
        <w:spacing w:line="276" w:lineRule="auto"/>
        <w:ind w:firstLine="851"/>
        <w:jc w:val="center"/>
        <w:rPr>
          <w:b/>
          <w:lang w:val="uk-UA"/>
        </w:rPr>
      </w:pPr>
      <w:r w:rsidRPr="007D4E50">
        <w:rPr>
          <w:b/>
          <w:lang w:val="uk-UA"/>
        </w:rPr>
        <w:t>1. Міжнародне співробітництво</w:t>
      </w:r>
    </w:p>
    <w:p w:rsidR="008F52DA" w:rsidRPr="007D4E50" w:rsidRDefault="008F52DA" w:rsidP="00066969">
      <w:pPr>
        <w:widowControl w:val="0"/>
        <w:spacing w:line="276" w:lineRule="auto"/>
        <w:ind w:firstLine="851"/>
        <w:jc w:val="both"/>
        <w:rPr>
          <w:lang w:val="uk-UA"/>
        </w:rPr>
      </w:pPr>
      <w:r w:rsidRPr="007D4E50">
        <w:rPr>
          <w:lang w:val="uk-UA"/>
        </w:rPr>
        <w:t xml:space="preserve">Відповідно до виконання Програми міжнародного співробітництва і туризму діяльністьу частині міжнародного співробітництва у 2018 році полягала упідтримці та розвитку існуючих відносин з партнерськими містамита пошук нових напрямків, зокрема, розширено налагодження прямих контактів та   географію співпраці. </w:t>
      </w:r>
    </w:p>
    <w:p w:rsidR="008F52DA" w:rsidRPr="007D4E50" w:rsidRDefault="008F52DA" w:rsidP="00066969">
      <w:pPr>
        <w:spacing w:line="276" w:lineRule="auto"/>
        <w:ind w:firstLine="851"/>
        <w:jc w:val="both"/>
        <w:rPr>
          <w:lang w:val="uk-UA"/>
        </w:rPr>
      </w:pPr>
      <w:r w:rsidRPr="007D4E50">
        <w:rPr>
          <w:lang w:val="uk-UA"/>
        </w:rPr>
        <w:t xml:space="preserve">Зацікавленість у зміцненні контактів з українською діаспорою Американського континенту, переросла у співпрацю з американським містом Парма (штат Огайо).Ініціатором співпраці є </w:t>
      </w:r>
      <w:r w:rsidRPr="007D4E50">
        <w:rPr>
          <w:color w:val="000000"/>
          <w:shd w:val="clear" w:color="auto" w:fill="FFFFFF"/>
          <w:lang w:val="uk-UA"/>
        </w:rPr>
        <w:t>голова Українського конгресового комітету Америки – найбільшої організації, яка представляє інтереси двох мільйонів американців українського походження, Андрій Футей.</w:t>
      </w:r>
      <w:r w:rsidRPr="007D4E50">
        <w:rPr>
          <w:lang w:val="uk-UA"/>
        </w:rPr>
        <w:t>07 червня 2018 року в підписано Меморандум про наміри встановлення партнерських зв’язків Тернополя та Парми.</w:t>
      </w:r>
    </w:p>
    <w:p w:rsidR="008F52DA" w:rsidRPr="007D4E50" w:rsidRDefault="008F52DA" w:rsidP="00066969">
      <w:pPr>
        <w:spacing w:line="276" w:lineRule="auto"/>
        <w:ind w:firstLine="851"/>
        <w:jc w:val="both"/>
        <w:rPr>
          <w:lang w:val="uk-UA"/>
        </w:rPr>
      </w:pPr>
      <w:r w:rsidRPr="007D4E50">
        <w:rPr>
          <w:lang w:val="uk-UA"/>
        </w:rPr>
        <w:t xml:space="preserve">Чисельна українська громада міста Апостолес, Аргентина, ініціювала співпрацю з Тернополем. 8 травня 2018 року підписано Меморандум про наміри співпраці між містами. </w:t>
      </w:r>
    </w:p>
    <w:p w:rsidR="008F52DA" w:rsidRPr="007D4E50" w:rsidRDefault="008F52DA" w:rsidP="00066969">
      <w:pPr>
        <w:spacing w:line="276" w:lineRule="auto"/>
        <w:ind w:firstLine="851"/>
        <w:jc w:val="both"/>
        <w:rPr>
          <w:lang w:val="uk-UA"/>
        </w:rPr>
      </w:pPr>
      <w:r w:rsidRPr="007D4E50">
        <w:rPr>
          <w:lang w:val="uk-UA"/>
        </w:rPr>
        <w:t xml:space="preserve">За ініціативи української громади бразильського міста Прудентополіс заплановано візит делегації міської ради 22-29 листопада з метою налагодження співпраці. </w:t>
      </w:r>
    </w:p>
    <w:p w:rsidR="008F52DA" w:rsidRPr="007D4E50" w:rsidRDefault="008F52DA" w:rsidP="00066969">
      <w:pPr>
        <w:spacing w:line="276" w:lineRule="auto"/>
        <w:ind w:firstLine="851"/>
        <w:jc w:val="both"/>
        <w:rPr>
          <w:lang w:val="uk-UA"/>
        </w:rPr>
      </w:pPr>
      <w:r w:rsidRPr="007D4E50">
        <w:rPr>
          <w:lang w:val="uk-UA"/>
        </w:rPr>
        <w:t xml:space="preserve">20 лютого 2018 року в рамках робочого візиту делегації міської ради до міста-партнера  Ельблонгпідписано Договір про співпрацю між Ельблонзьким Об’єднанням українців у Польщі та Тернопільською міською радою.  </w:t>
      </w:r>
    </w:p>
    <w:p w:rsidR="008F52DA" w:rsidRPr="007D4E50" w:rsidRDefault="008F52DA" w:rsidP="00066969">
      <w:pPr>
        <w:spacing w:line="276" w:lineRule="auto"/>
        <w:ind w:firstLine="851"/>
        <w:jc w:val="both"/>
        <w:rPr>
          <w:lang w:val="uk-UA"/>
        </w:rPr>
      </w:pPr>
      <w:r w:rsidRPr="007D4E50">
        <w:rPr>
          <w:lang w:val="uk-UA"/>
        </w:rPr>
        <w:t xml:space="preserve">24 березня 2018 року у Тернополі підписано Меморандум про співпрацю між Тернопільською міською радою та Світовим Конгресом Українських Молодіжних організацій. </w:t>
      </w:r>
    </w:p>
    <w:p w:rsidR="008F52DA" w:rsidRPr="007D4E50" w:rsidRDefault="008F52DA" w:rsidP="00066969">
      <w:pPr>
        <w:pStyle w:val="3"/>
        <w:shd w:val="clear" w:color="auto" w:fill="FFFFFF"/>
        <w:spacing w:before="0" w:beforeAutospacing="0" w:after="0" w:afterAutospacing="0" w:line="276" w:lineRule="auto"/>
        <w:ind w:firstLine="851"/>
        <w:jc w:val="both"/>
        <w:rPr>
          <w:b w:val="0"/>
          <w:bCs w:val="0"/>
          <w:color w:val="000000"/>
          <w:sz w:val="24"/>
          <w:szCs w:val="24"/>
          <w:lang w:val="uk-UA"/>
        </w:rPr>
      </w:pPr>
      <w:r w:rsidRPr="007D4E50">
        <w:rPr>
          <w:rStyle w:val="a5"/>
          <w:color w:val="000000"/>
          <w:sz w:val="24"/>
          <w:szCs w:val="24"/>
          <w:shd w:val="clear" w:color="auto" w:fill="FFFFFF"/>
          <w:lang w:val="uk-UA"/>
        </w:rPr>
        <w:t>У м. Чжанцзяцзе  (Китай) 15-17 жовтня 2018 року під час бізнес- саміту «Шовковий шлях 2018»  недержавної організації «Міжнародна торгова палата Шовкового шляху» (SRCIC) підписано</w:t>
      </w:r>
      <w:r w:rsidRPr="007D4E50">
        <w:rPr>
          <w:b w:val="0"/>
          <w:bCs w:val="0"/>
          <w:color w:val="000000"/>
          <w:sz w:val="24"/>
          <w:szCs w:val="24"/>
          <w:lang w:val="uk-UA"/>
        </w:rPr>
        <w:t>угоду про вступ Тернополя до Альянсу міст «Шовкового шляху».</w:t>
      </w:r>
    </w:p>
    <w:p w:rsidR="008F52DA" w:rsidRPr="007D4E50" w:rsidRDefault="008F52DA" w:rsidP="00066969">
      <w:pPr>
        <w:spacing w:line="276" w:lineRule="auto"/>
        <w:ind w:firstLine="851"/>
        <w:jc w:val="both"/>
        <w:rPr>
          <w:lang w:val="uk-UA"/>
        </w:rPr>
      </w:pPr>
      <w:r w:rsidRPr="007D4E50">
        <w:rPr>
          <w:lang w:val="uk-UA"/>
        </w:rPr>
        <w:t xml:space="preserve">Якісно та стрімко розвивається співпраця з Балтійськими містами-партнерами Вільянді (Естонія) та Таураге (Литва). </w:t>
      </w:r>
    </w:p>
    <w:p w:rsidR="008F52DA" w:rsidRPr="007D4E50" w:rsidRDefault="008F52DA" w:rsidP="00066969">
      <w:pPr>
        <w:spacing w:line="276" w:lineRule="auto"/>
        <w:ind w:firstLine="851"/>
        <w:jc w:val="both"/>
        <w:rPr>
          <w:lang w:val="uk-UA"/>
        </w:rPr>
      </w:pPr>
      <w:r w:rsidRPr="007D4E50">
        <w:rPr>
          <w:lang w:val="uk-UA"/>
        </w:rPr>
        <w:t>Розпочато участь в ряді спільних освітньо-соціальних проектах між Тернополем і Вільянді, які реалізовує Естонських Центр Східного Партнерства, м. Таллінн.  Перший етап проекту «Кращі практики співпраці місцевого самоврядування та громадянського суспільства» відбувся з 16 по 21 вересня 2018 року. В рамках проекту представники міської ради та громадських організацій міста познайомились з естонським досвідом втілення реформ в сфері місцевого самоврядування.</w:t>
      </w:r>
    </w:p>
    <w:p w:rsidR="008F52DA" w:rsidRPr="007D4E50" w:rsidRDefault="008F52DA" w:rsidP="00066969">
      <w:pPr>
        <w:spacing w:line="276" w:lineRule="auto"/>
        <w:ind w:firstLine="851"/>
        <w:jc w:val="both"/>
        <w:rPr>
          <w:lang w:val="uk-UA"/>
        </w:rPr>
      </w:pPr>
      <w:r w:rsidRPr="007D4E50">
        <w:rPr>
          <w:lang w:val="uk-UA"/>
        </w:rPr>
        <w:t xml:space="preserve">В рамках відзначення Дня Європи започаткована презентація партнерських європейських міст Тернополя. У травні 2018 році у святкуванні Днів Європи брали делегації партнерських міст Таураге, Литва, та Батумі, Грузія. Литовське місто Таураге вже третій рік поспіль приймає для відпочинку та оздоровлення  дітей учасників АТО. Встановлено співпрацю між ЗОШ №5 м. Тернополя та Тауразькою гімназією Шалтініс.  Проводиться обмін футбольними дитячими командами. Відбуваються візити представників литовського бізнесу до Тернополя на інвестиційний форум. </w:t>
      </w:r>
    </w:p>
    <w:p w:rsidR="008F52DA" w:rsidRPr="007D4E50" w:rsidRDefault="008F52DA" w:rsidP="00066969">
      <w:pPr>
        <w:spacing w:line="276" w:lineRule="auto"/>
        <w:ind w:firstLine="851"/>
        <w:jc w:val="both"/>
        <w:rPr>
          <w:lang w:val="uk-UA"/>
        </w:rPr>
      </w:pPr>
      <w:r w:rsidRPr="007D4E50">
        <w:rPr>
          <w:lang w:val="uk-UA"/>
        </w:rPr>
        <w:t>Завдяки співпраці з Ельблонгом, Тернопіль започатковує співпрацю з норвезьким містом Ставангер, делегація якого 24-26 серпня 2018 року відвідала Тернопіль.</w:t>
      </w:r>
    </w:p>
    <w:p w:rsidR="008F52DA" w:rsidRPr="007D4E50" w:rsidRDefault="008F52DA" w:rsidP="00066969">
      <w:pPr>
        <w:widowControl w:val="0"/>
        <w:spacing w:line="276" w:lineRule="auto"/>
        <w:ind w:firstLine="851"/>
        <w:jc w:val="both"/>
        <w:rPr>
          <w:lang w:val="uk-UA"/>
        </w:rPr>
      </w:pPr>
      <w:r w:rsidRPr="007D4E50">
        <w:rPr>
          <w:lang w:val="uk-UA"/>
        </w:rPr>
        <w:t xml:space="preserve">Співпраця з польськими містами продовжує активно розвиватися. </w:t>
      </w:r>
    </w:p>
    <w:p w:rsidR="008F52DA" w:rsidRPr="007D4E50" w:rsidRDefault="008F52DA" w:rsidP="00066969">
      <w:pPr>
        <w:widowControl w:val="0"/>
        <w:spacing w:line="276" w:lineRule="auto"/>
        <w:ind w:firstLine="851"/>
        <w:jc w:val="both"/>
        <w:rPr>
          <w:lang w:val="uk-UA"/>
        </w:rPr>
      </w:pPr>
      <w:r w:rsidRPr="007D4E50">
        <w:rPr>
          <w:lang w:val="uk-UA"/>
        </w:rPr>
        <w:t>Таким чином, на даний час місто Тернопіль співпрацює з 28 муніципалітетами європейських та інших міст (рис. 1).</w:t>
      </w:r>
    </w:p>
    <w:p w:rsidR="008F52DA" w:rsidRPr="007D4E50" w:rsidRDefault="008F52DA" w:rsidP="00066969">
      <w:pPr>
        <w:widowControl w:val="0"/>
        <w:spacing w:line="276" w:lineRule="auto"/>
        <w:ind w:firstLine="851"/>
        <w:jc w:val="both"/>
        <w:rPr>
          <w:lang w:val="uk-UA"/>
        </w:rPr>
      </w:pPr>
      <w:r w:rsidRPr="007D4E50">
        <w:rPr>
          <w:lang w:val="uk-UA"/>
        </w:rPr>
        <w:t>Серед них –міста-побратими (4 міста), з якими урочисто укладені Присяги про побратимство: Хожув (Польща), Батумі (Грузія), Тарнув (Польща), Тирасполь (Молдова).</w:t>
      </w:r>
    </w:p>
    <w:p w:rsidR="008F52DA" w:rsidRPr="007D4E50" w:rsidRDefault="008F52DA" w:rsidP="00066969">
      <w:pPr>
        <w:widowControl w:val="0"/>
        <w:spacing w:line="276" w:lineRule="auto"/>
        <w:ind w:firstLine="851"/>
        <w:jc w:val="both"/>
        <w:rPr>
          <w:lang w:val="uk-UA"/>
        </w:rPr>
      </w:pPr>
      <w:r w:rsidRPr="007D4E50">
        <w:rPr>
          <w:lang w:val="uk-UA"/>
        </w:rPr>
        <w:t xml:space="preserve">Партнерські міста (16 міст): Ельблонг (Польща), Радом (Польща), Новотомишльський повіт (Польща), Вільянді (Естонія), Шумен (Болгарія), Слівен (Болгарія), Ялова (Туреччина), Мурсія (Іспанія), Суленцінський повіт (Польща), Таураге (Литва), ЄлєняГура (Польща), Ниса (Польща), Плонськ (Польща), Сувалки (Польща), Апостолес (Аргентина), Парма (США). </w:t>
      </w:r>
    </w:p>
    <w:p w:rsidR="008F52DA" w:rsidRPr="007D4E50" w:rsidRDefault="008F52DA" w:rsidP="00066969">
      <w:pPr>
        <w:widowControl w:val="0"/>
        <w:spacing w:line="276" w:lineRule="auto"/>
        <w:ind w:firstLine="851"/>
        <w:jc w:val="both"/>
        <w:rPr>
          <w:lang w:val="uk-UA"/>
        </w:rPr>
      </w:pPr>
      <w:r w:rsidRPr="007D4E50">
        <w:rPr>
          <w:lang w:val="uk-UA"/>
        </w:rPr>
        <w:t>Дружні міста (8 міст): Люблін (Польща), Йонкерс (США), Торонто (Канада), Касторія (Греція), Бжег (Польща), Ольштин (Польща), Соколов-Подляський повіт (Польща), Прудентополіс (Бразилія).</w:t>
      </w:r>
    </w:p>
    <w:p w:rsidR="008F52DA" w:rsidRPr="007D4E50" w:rsidRDefault="008F52DA" w:rsidP="00066969">
      <w:pPr>
        <w:widowControl w:val="0"/>
        <w:spacing w:line="276" w:lineRule="auto"/>
        <w:ind w:firstLine="851"/>
        <w:jc w:val="center"/>
        <w:rPr>
          <w:b/>
          <w:bCs/>
          <w:lang w:val="uk-UA"/>
        </w:rPr>
      </w:pPr>
      <w:r w:rsidRPr="007D4E50">
        <w:rPr>
          <w:b/>
          <w:bCs/>
          <w:noProof/>
          <w:lang w:val="uk-UA" w:eastAsia="uk-UA"/>
        </w:rPr>
        <w:drawing>
          <wp:anchor distT="0" distB="0" distL="114300" distR="114300" simplePos="0" relativeHeight="251658240" behindDoc="0" locked="0" layoutInCell="1" allowOverlap="1">
            <wp:simplePos x="0" y="0"/>
            <wp:positionH relativeFrom="margin">
              <wp:align>center</wp:align>
            </wp:positionH>
            <wp:positionV relativeFrom="paragraph">
              <wp:posOffset>8890</wp:posOffset>
            </wp:positionV>
            <wp:extent cx="6096000" cy="3317875"/>
            <wp:effectExtent l="0" t="0" r="0" b="0"/>
            <wp:wrapNone/>
            <wp:docPr id="33" name="Объект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r w:rsidRPr="007D4E50">
        <w:rPr>
          <w:b/>
          <w:bCs/>
          <w:lang w:val="uk-UA"/>
        </w:rPr>
        <w:t>Рис. 1. Динаміка кількості партнерських міст Тернополя з муніципалітетами Європи та світу</w:t>
      </w:r>
    </w:p>
    <w:p w:rsidR="008F52DA" w:rsidRPr="007D4E50" w:rsidRDefault="008F52DA" w:rsidP="00066969">
      <w:pPr>
        <w:widowControl w:val="0"/>
        <w:spacing w:line="276" w:lineRule="auto"/>
        <w:ind w:firstLine="851"/>
        <w:jc w:val="center"/>
        <w:rPr>
          <w:b/>
          <w:bCs/>
          <w:lang w:val="uk-UA"/>
        </w:rPr>
      </w:pPr>
      <w:r w:rsidRPr="007D4E50">
        <w:rPr>
          <w:b/>
          <w:bCs/>
          <w:noProof/>
          <w:lang w:val="uk-UA" w:eastAsia="uk-UA"/>
        </w:rPr>
        <w:drawing>
          <wp:anchor distT="0" distB="0" distL="114300" distR="114300" simplePos="0" relativeHeight="251659264" behindDoc="0" locked="0" layoutInCell="1" allowOverlap="1">
            <wp:simplePos x="0" y="0"/>
            <wp:positionH relativeFrom="margin">
              <wp:align>right</wp:align>
            </wp:positionH>
            <wp:positionV relativeFrom="paragraph">
              <wp:posOffset>19050</wp:posOffset>
            </wp:positionV>
            <wp:extent cx="5861685" cy="3550285"/>
            <wp:effectExtent l="0" t="0" r="0" b="0"/>
            <wp:wrapNone/>
            <wp:docPr id="34" name="Объект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p>
    <w:p w:rsidR="008F52DA" w:rsidRPr="007D4E50" w:rsidRDefault="008F52DA" w:rsidP="00066969">
      <w:pPr>
        <w:widowControl w:val="0"/>
        <w:spacing w:line="276" w:lineRule="auto"/>
        <w:ind w:firstLine="851"/>
        <w:jc w:val="center"/>
        <w:rPr>
          <w:b/>
          <w:bCs/>
          <w:lang w:val="uk-UA"/>
        </w:rPr>
      </w:pPr>
      <w:r w:rsidRPr="007D4E50">
        <w:rPr>
          <w:b/>
          <w:bCs/>
          <w:lang w:val="uk-UA"/>
        </w:rPr>
        <w:t>Рис. 2. Динаміка діяльності міста у сфері міжнародного співробітництва</w:t>
      </w:r>
    </w:p>
    <w:p w:rsidR="008F52DA" w:rsidRPr="007D4E50" w:rsidRDefault="008F52DA" w:rsidP="00066969">
      <w:pPr>
        <w:widowControl w:val="0"/>
        <w:spacing w:line="276" w:lineRule="auto"/>
        <w:ind w:firstLine="851"/>
        <w:jc w:val="both"/>
        <w:rPr>
          <w:bCs/>
          <w:lang w:val="uk-UA"/>
        </w:rPr>
      </w:pPr>
    </w:p>
    <w:p w:rsidR="008F52DA" w:rsidRPr="007D4E50" w:rsidRDefault="008F52DA" w:rsidP="00066969">
      <w:pPr>
        <w:widowControl w:val="0"/>
        <w:spacing w:line="276" w:lineRule="auto"/>
        <w:ind w:firstLine="851"/>
        <w:jc w:val="both"/>
        <w:rPr>
          <w:lang w:val="uk-UA"/>
        </w:rPr>
      </w:pPr>
      <w:r w:rsidRPr="007D4E50">
        <w:rPr>
          <w:bCs/>
          <w:lang w:val="uk-UA"/>
        </w:rPr>
        <w:t>Міжнародна діяльність управління за 10 міс. 2018 року:</w:t>
      </w:r>
    </w:p>
    <w:p w:rsidR="008F52DA" w:rsidRPr="007D4E50" w:rsidRDefault="008F52DA" w:rsidP="00066969">
      <w:pPr>
        <w:widowControl w:val="0"/>
        <w:spacing w:line="276" w:lineRule="auto"/>
        <w:ind w:firstLine="851"/>
        <w:jc w:val="both"/>
        <w:rPr>
          <w:i/>
          <w:lang w:val="uk-UA"/>
        </w:rPr>
      </w:pPr>
      <w:r w:rsidRPr="007D4E50">
        <w:rPr>
          <w:i/>
          <w:lang w:val="uk-UA"/>
        </w:rPr>
        <w:t xml:space="preserve">1. Забезпечено перебування представників міст-побратимів та партнерських міст та іноземних делегацій в міжнародних заходах </w:t>
      </w:r>
      <w:r w:rsidRPr="007D4E50">
        <w:rPr>
          <w:b/>
          <w:i/>
          <w:lang w:val="uk-UA"/>
        </w:rPr>
        <w:t xml:space="preserve">у Тернополі, </w:t>
      </w:r>
      <w:r w:rsidRPr="007D4E50">
        <w:rPr>
          <w:i/>
          <w:lang w:val="uk-UA"/>
        </w:rPr>
        <w:t>візити представників міжнародних організацій та  ділових кіл, міжнародні зустрічі :</w:t>
      </w:r>
    </w:p>
    <w:p w:rsidR="008F52DA" w:rsidRPr="007D4E50" w:rsidRDefault="008F52DA" w:rsidP="00066969">
      <w:pPr>
        <w:autoSpaceDE w:val="0"/>
        <w:autoSpaceDN w:val="0"/>
        <w:adjustRightInd w:val="0"/>
        <w:spacing w:line="276" w:lineRule="auto"/>
        <w:ind w:firstLine="851"/>
        <w:jc w:val="both"/>
        <w:rPr>
          <w:lang w:val="uk-UA"/>
        </w:rPr>
      </w:pPr>
      <w:r w:rsidRPr="007D4E50">
        <w:rPr>
          <w:lang w:val="uk-UA"/>
        </w:rPr>
        <w:t>1) 06.02 – візит делегації Агентства США з міжнародного розвитку в Україні, Молдові та Білорусі щодо  реалізації нових проектів в місті Тернопіль. Розглянуто концепцію створення першого індустріального парку у місті та досвід роботи індустріальних парків у Європі.</w:t>
      </w:r>
    </w:p>
    <w:p w:rsidR="008F52DA" w:rsidRPr="007D4E50" w:rsidRDefault="008F52DA" w:rsidP="00066969">
      <w:pPr>
        <w:autoSpaceDE w:val="0"/>
        <w:autoSpaceDN w:val="0"/>
        <w:adjustRightInd w:val="0"/>
        <w:spacing w:line="276" w:lineRule="auto"/>
        <w:ind w:firstLine="851"/>
        <w:jc w:val="both"/>
        <w:rPr>
          <w:lang w:val="uk-UA"/>
        </w:rPr>
      </w:pPr>
      <w:r w:rsidRPr="007D4E50">
        <w:rPr>
          <w:lang w:val="uk-UA"/>
        </w:rPr>
        <w:t>2) 08.02 – візит Генерального директора ТзОВ «ФючерПроцесінг Україна» (Польща) – підписання Угоди про співпрацю, обговорення тривалих партнерських відносин у розвитку підприємництва в Тернополі у сфері новітніх технологій, що покликані стимулювати розвиток галузі інформаційних технологій у місті.</w:t>
      </w:r>
    </w:p>
    <w:p w:rsidR="008F52DA" w:rsidRPr="007D4E50" w:rsidRDefault="008F52DA" w:rsidP="00066969">
      <w:pPr>
        <w:autoSpaceDE w:val="0"/>
        <w:autoSpaceDN w:val="0"/>
        <w:adjustRightInd w:val="0"/>
        <w:spacing w:line="276" w:lineRule="auto"/>
        <w:ind w:firstLine="851"/>
        <w:jc w:val="both"/>
        <w:rPr>
          <w:lang w:val="uk-UA"/>
        </w:rPr>
      </w:pPr>
      <w:r w:rsidRPr="007D4E50">
        <w:rPr>
          <w:lang w:val="uk-UA"/>
        </w:rPr>
        <w:t>3) 29.03 – візит польської делегації Гміни Громадка, Польща. Робочий візит, обговорення та вивчення досвіду гміни Громадка щодо використання грантів ЄС та Норвегії та написання проектів. Розширення співпраці між навчальними закладами Тернополя та гміни Громадка.</w:t>
      </w:r>
    </w:p>
    <w:p w:rsidR="008F52DA" w:rsidRPr="007D4E50" w:rsidRDefault="008F52DA" w:rsidP="00066969">
      <w:pPr>
        <w:spacing w:line="276" w:lineRule="auto"/>
        <w:ind w:firstLine="851"/>
        <w:jc w:val="both"/>
        <w:rPr>
          <w:lang w:val="uk-UA"/>
        </w:rPr>
      </w:pPr>
      <w:r w:rsidRPr="007D4E50">
        <w:rPr>
          <w:lang w:val="uk-UA"/>
        </w:rPr>
        <w:t>4) 18-20.05 –  проведення Днів Європи та Днів Таураге в Тернополі:</w:t>
      </w:r>
    </w:p>
    <w:p w:rsidR="008F52DA" w:rsidRPr="007D4E50" w:rsidRDefault="008F52DA" w:rsidP="00066969">
      <w:pPr>
        <w:spacing w:line="276" w:lineRule="auto"/>
        <w:ind w:firstLine="851"/>
        <w:jc w:val="both"/>
        <w:rPr>
          <w:lang w:val="uk-UA"/>
        </w:rPr>
      </w:pPr>
      <w:r w:rsidRPr="007D4E50">
        <w:rPr>
          <w:lang w:val="uk-UA"/>
        </w:rPr>
        <w:t xml:space="preserve">- 19.05 –підписання Договору про співпрацю з Прогімназією ТаурагеШалтініс та Тернопільською ЗОШ №5, зустріч в міській раді. </w:t>
      </w:r>
    </w:p>
    <w:p w:rsidR="008F52DA" w:rsidRPr="007D4E50" w:rsidRDefault="008F52DA" w:rsidP="00066969">
      <w:pPr>
        <w:spacing w:line="276" w:lineRule="auto"/>
        <w:ind w:firstLine="851"/>
        <w:jc w:val="both"/>
        <w:rPr>
          <w:lang w:val="uk-UA"/>
        </w:rPr>
      </w:pPr>
      <w:r w:rsidRPr="007D4E50">
        <w:rPr>
          <w:lang w:val="uk-UA"/>
        </w:rPr>
        <w:t>- Зустріч між  представниками Тауразької музичної школи та Тернопільської  музичної школи №1 в приміщенні Тернопільської  музичної школи №1.</w:t>
      </w:r>
    </w:p>
    <w:p w:rsidR="008F52DA" w:rsidRPr="007D4E50" w:rsidRDefault="008F52DA" w:rsidP="00066969">
      <w:pPr>
        <w:spacing w:line="276" w:lineRule="auto"/>
        <w:ind w:firstLine="851"/>
        <w:jc w:val="both"/>
        <w:rPr>
          <w:lang w:val="uk-UA"/>
        </w:rPr>
      </w:pPr>
      <w:r w:rsidRPr="007D4E50">
        <w:rPr>
          <w:lang w:val="uk-UA"/>
        </w:rPr>
        <w:t xml:space="preserve">- Святкова програма за участі музичного та танцювального колективів міста Таурагена Театральному майдані під час офіційної церемонії відкриття Днів Європи. </w:t>
      </w:r>
    </w:p>
    <w:p w:rsidR="008F52DA" w:rsidRPr="007D4E50" w:rsidRDefault="008F52DA" w:rsidP="00066969">
      <w:pPr>
        <w:autoSpaceDE w:val="0"/>
        <w:autoSpaceDN w:val="0"/>
        <w:adjustRightInd w:val="0"/>
        <w:spacing w:line="276" w:lineRule="auto"/>
        <w:ind w:firstLine="851"/>
        <w:jc w:val="both"/>
        <w:rPr>
          <w:lang w:val="uk-UA"/>
        </w:rPr>
      </w:pPr>
      <w:r w:rsidRPr="007D4E50">
        <w:rPr>
          <w:lang w:val="uk-UA"/>
        </w:rPr>
        <w:t xml:space="preserve">5) 21.05 – участь делегацій Батумі в конференції до Дня Європи в ТНПУ ім. В. Гнатюка, відвідання юридичного факультету ТНЕУ </w:t>
      </w:r>
    </w:p>
    <w:p w:rsidR="008F52DA" w:rsidRPr="007D4E50" w:rsidRDefault="008F52DA" w:rsidP="00066969">
      <w:pPr>
        <w:autoSpaceDE w:val="0"/>
        <w:autoSpaceDN w:val="0"/>
        <w:adjustRightInd w:val="0"/>
        <w:spacing w:line="276" w:lineRule="auto"/>
        <w:ind w:firstLine="851"/>
        <w:jc w:val="both"/>
        <w:rPr>
          <w:lang w:val="uk-UA"/>
        </w:rPr>
      </w:pPr>
      <w:r w:rsidRPr="007D4E50">
        <w:rPr>
          <w:lang w:val="uk-UA"/>
        </w:rPr>
        <w:t xml:space="preserve">6) 22-23.05 – зустріч з польськими підприємцями і представниками муніципалітету польського міста Ельблонг. </w:t>
      </w:r>
    </w:p>
    <w:p w:rsidR="008F52DA" w:rsidRPr="007D4E50" w:rsidRDefault="008F52DA" w:rsidP="00066969">
      <w:pPr>
        <w:autoSpaceDE w:val="0"/>
        <w:autoSpaceDN w:val="0"/>
        <w:adjustRightInd w:val="0"/>
        <w:spacing w:line="276" w:lineRule="auto"/>
        <w:ind w:firstLine="851"/>
        <w:jc w:val="both"/>
        <w:rPr>
          <w:lang w:val="uk-UA"/>
        </w:rPr>
      </w:pPr>
      <w:r w:rsidRPr="007D4E50">
        <w:rPr>
          <w:lang w:val="uk-UA"/>
        </w:rPr>
        <w:t>7) 22-25.05 – візит делегації Ельблонга до Тернополя. Організовані зустрічі представників бізнесу Ельблонга в Торгово-промисловій палаті, медичному, педагогічному університетах, ЗОШ №5, ТІЦ м. Тернополя.</w:t>
      </w:r>
    </w:p>
    <w:p w:rsidR="008F52DA" w:rsidRPr="007D4E50" w:rsidRDefault="008F52DA" w:rsidP="00066969">
      <w:pPr>
        <w:autoSpaceDE w:val="0"/>
        <w:autoSpaceDN w:val="0"/>
        <w:adjustRightInd w:val="0"/>
        <w:spacing w:line="276" w:lineRule="auto"/>
        <w:ind w:firstLine="851"/>
        <w:jc w:val="both"/>
        <w:rPr>
          <w:lang w:val="uk-UA"/>
        </w:rPr>
      </w:pPr>
      <w:r w:rsidRPr="007D4E50">
        <w:rPr>
          <w:lang w:val="uk-UA"/>
        </w:rPr>
        <w:t>8) 24.05 – у міжнародному інвестиційному форумі «Тернопільщина Інвест 2018» взяли участь делегації партнерських міст Ельблонга та Батумі, представники дипломатичних установ.</w:t>
      </w:r>
    </w:p>
    <w:p w:rsidR="008F52DA" w:rsidRPr="007D4E50" w:rsidRDefault="008F52DA" w:rsidP="00066969">
      <w:pPr>
        <w:spacing w:line="276" w:lineRule="auto"/>
        <w:ind w:firstLine="851"/>
        <w:jc w:val="both"/>
        <w:rPr>
          <w:lang w:val="uk-UA"/>
        </w:rPr>
      </w:pPr>
      <w:r w:rsidRPr="007D4E50">
        <w:rPr>
          <w:lang w:val="uk-UA"/>
        </w:rPr>
        <w:t xml:space="preserve">9) 14-17.08 – участь футбольних команд  Нового Томишля та Таураге у футбольному турнірі міста Тернополя. </w:t>
      </w:r>
    </w:p>
    <w:p w:rsidR="008F52DA" w:rsidRPr="007D4E50" w:rsidRDefault="008F52DA" w:rsidP="00066969">
      <w:pPr>
        <w:spacing w:line="276" w:lineRule="auto"/>
        <w:ind w:firstLine="851"/>
        <w:jc w:val="both"/>
        <w:rPr>
          <w:lang w:val="uk-UA"/>
        </w:rPr>
      </w:pPr>
      <w:r w:rsidRPr="007D4E50">
        <w:rPr>
          <w:lang w:val="uk-UA"/>
        </w:rPr>
        <w:t xml:space="preserve">10) 24-26.08 – в святкуванні Днів міста Тернополя взяли участь делегації наступних партнерських міст: Батумі, Вільянді, Таураге, Слівен, Ставангер, Хожув, Сувалки, Ельблонг та консул Генерального консульства в Луцьку ПйотрМатусяк. </w:t>
      </w:r>
    </w:p>
    <w:p w:rsidR="008F52DA" w:rsidRPr="007D4E50" w:rsidRDefault="008F52DA" w:rsidP="00066969">
      <w:pPr>
        <w:autoSpaceDE w:val="0"/>
        <w:autoSpaceDN w:val="0"/>
        <w:adjustRightInd w:val="0"/>
        <w:spacing w:line="276" w:lineRule="auto"/>
        <w:ind w:firstLine="851"/>
        <w:jc w:val="both"/>
        <w:rPr>
          <w:lang w:val="uk-UA"/>
        </w:rPr>
      </w:pPr>
      <w:r w:rsidRPr="007D4E50">
        <w:rPr>
          <w:lang w:val="uk-UA"/>
        </w:rPr>
        <w:t>11) 30.08 – зустріч міського голови з представниками японської компанії «Марубені».</w:t>
      </w:r>
    </w:p>
    <w:p w:rsidR="008F52DA" w:rsidRPr="007D4E50" w:rsidRDefault="008F52DA" w:rsidP="00066969">
      <w:pPr>
        <w:autoSpaceDE w:val="0"/>
        <w:autoSpaceDN w:val="0"/>
        <w:adjustRightInd w:val="0"/>
        <w:spacing w:line="276" w:lineRule="auto"/>
        <w:ind w:firstLine="851"/>
        <w:jc w:val="both"/>
        <w:rPr>
          <w:lang w:val="uk-UA"/>
        </w:rPr>
      </w:pPr>
      <w:r w:rsidRPr="007D4E50">
        <w:rPr>
          <w:lang w:val="uk-UA"/>
        </w:rPr>
        <w:t xml:space="preserve">12) 24.09 – зустріч міського голови з Генеральним секретарем Конгресу місцевих та регіональних влад ради Європи. </w:t>
      </w:r>
    </w:p>
    <w:p w:rsidR="008F52DA" w:rsidRPr="007D4E50" w:rsidRDefault="008F52DA" w:rsidP="00066969">
      <w:pPr>
        <w:widowControl w:val="0"/>
        <w:autoSpaceDE w:val="0"/>
        <w:autoSpaceDN w:val="0"/>
        <w:adjustRightInd w:val="0"/>
        <w:spacing w:line="276" w:lineRule="auto"/>
        <w:ind w:firstLine="851"/>
        <w:jc w:val="both"/>
        <w:rPr>
          <w:lang w:val="uk-UA"/>
        </w:rPr>
      </w:pPr>
      <w:r w:rsidRPr="007D4E50">
        <w:rPr>
          <w:lang w:val="uk-UA"/>
        </w:rPr>
        <w:t xml:space="preserve">13) 10.10 – в ТМР перебувала іноземна делегація словенської фірми ElanInventa, виробник спортивного обладнання. В рамках зустрічі обговорено питання співпраці. </w:t>
      </w:r>
    </w:p>
    <w:p w:rsidR="008F52DA" w:rsidRPr="007D4E50" w:rsidRDefault="008F52DA" w:rsidP="00066969">
      <w:pPr>
        <w:widowControl w:val="0"/>
        <w:spacing w:line="276" w:lineRule="auto"/>
        <w:ind w:firstLine="851"/>
        <w:jc w:val="both"/>
        <w:rPr>
          <w:i/>
          <w:lang w:val="uk-UA"/>
        </w:rPr>
      </w:pPr>
      <w:r w:rsidRPr="007D4E50">
        <w:rPr>
          <w:lang w:val="uk-UA"/>
        </w:rPr>
        <w:tab/>
      </w:r>
      <w:r w:rsidRPr="007D4E50">
        <w:rPr>
          <w:i/>
          <w:lang w:val="uk-UA"/>
        </w:rPr>
        <w:t xml:space="preserve">2. Забезпечення участі культурних, спортивних та освітніх колективів, офіційних делегацій міста Тернополя у міжнародних заходах та зустрічах </w:t>
      </w:r>
      <w:r w:rsidRPr="007D4E50">
        <w:rPr>
          <w:b/>
          <w:i/>
          <w:lang w:val="uk-UA"/>
        </w:rPr>
        <w:t>за кордоном.</w:t>
      </w:r>
    </w:p>
    <w:p w:rsidR="008F52DA" w:rsidRPr="007D4E50" w:rsidRDefault="008F52DA" w:rsidP="00066969">
      <w:pPr>
        <w:numPr>
          <w:ilvl w:val="0"/>
          <w:numId w:val="7"/>
        </w:numPr>
        <w:autoSpaceDE w:val="0"/>
        <w:autoSpaceDN w:val="0"/>
        <w:adjustRightInd w:val="0"/>
        <w:spacing w:line="276" w:lineRule="auto"/>
        <w:ind w:left="0" w:firstLine="851"/>
        <w:jc w:val="both"/>
        <w:rPr>
          <w:lang w:val="uk-UA"/>
        </w:rPr>
      </w:pPr>
      <w:r w:rsidRPr="007D4E50">
        <w:rPr>
          <w:lang w:val="uk-UA"/>
        </w:rPr>
        <w:t>16.03 – відбувся візит делегації ТМР до партнерського міста Таураге (Литва) з метою обміну досвідом лікувальних закладів міста.</w:t>
      </w:r>
    </w:p>
    <w:p w:rsidR="008F52DA" w:rsidRPr="007D4E50" w:rsidRDefault="008F52DA" w:rsidP="00066969">
      <w:pPr>
        <w:numPr>
          <w:ilvl w:val="0"/>
          <w:numId w:val="7"/>
        </w:numPr>
        <w:spacing w:line="276" w:lineRule="auto"/>
        <w:ind w:left="0" w:firstLine="851"/>
        <w:jc w:val="both"/>
        <w:rPr>
          <w:lang w:val="uk-UA"/>
        </w:rPr>
      </w:pPr>
      <w:r w:rsidRPr="007D4E50">
        <w:rPr>
          <w:lang w:val="uk-UA"/>
        </w:rPr>
        <w:t xml:space="preserve">30.04-05.05 - візит Кашицького В.В. та представників телекомпанії ТВ4 до міста Ельблонг з метою вивчення досвіду партнерського міста та розширення співпраці. Участь в святкуванні Дня Прапора та Дня Конституції Польщі. </w:t>
      </w:r>
    </w:p>
    <w:p w:rsidR="008F52DA" w:rsidRPr="007D4E50" w:rsidRDefault="008F52DA" w:rsidP="00066969">
      <w:pPr>
        <w:spacing w:line="276" w:lineRule="auto"/>
        <w:ind w:firstLine="851"/>
        <w:jc w:val="both"/>
        <w:rPr>
          <w:lang w:val="uk-UA"/>
        </w:rPr>
      </w:pPr>
      <w:r w:rsidRPr="007D4E50">
        <w:rPr>
          <w:lang w:val="uk-UA"/>
        </w:rPr>
        <w:t>Проведено переговори з представниками норвезького міста Ставангер на предмет участі міста Тернополя у спільному норвезько-польському проекті з енергозбереження. Зустріч з Консулом України в Гданську щодо розширення співпраці, зокрема участі Етно-галереї «Спадок» (Тернопіль) в Днях України в Гданську восени 2018 року.</w:t>
      </w:r>
    </w:p>
    <w:p w:rsidR="008F52DA" w:rsidRPr="007D4E50" w:rsidRDefault="008F52DA" w:rsidP="00066969">
      <w:pPr>
        <w:numPr>
          <w:ilvl w:val="0"/>
          <w:numId w:val="7"/>
        </w:numPr>
        <w:autoSpaceDE w:val="0"/>
        <w:autoSpaceDN w:val="0"/>
        <w:adjustRightInd w:val="0"/>
        <w:spacing w:line="276" w:lineRule="auto"/>
        <w:ind w:left="0" w:firstLine="851"/>
        <w:jc w:val="both"/>
        <w:rPr>
          <w:lang w:val="uk-UA"/>
        </w:rPr>
      </w:pPr>
      <w:r w:rsidRPr="007D4E50">
        <w:rPr>
          <w:lang w:val="uk-UA"/>
        </w:rPr>
        <w:t>07-10.05 – візит делегації ТМР (Дейнека Ю.П., Круть М.М. та Калуш К.В.)  в партнерське  місто Хожув з метою обміну досвідом.</w:t>
      </w:r>
    </w:p>
    <w:p w:rsidR="008F52DA" w:rsidRPr="007D4E50" w:rsidRDefault="008F52DA" w:rsidP="00066969">
      <w:pPr>
        <w:numPr>
          <w:ilvl w:val="0"/>
          <w:numId w:val="7"/>
        </w:numPr>
        <w:autoSpaceDE w:val="0"/>
        <w:autoSpaceDN w:val="0"/>
        <w:adjustRightInd w:val="0"/>
        <w:spacing w:line="276" w:lineRule="auto"/>
        <w:ind w:left="0" w:firstLine="851"/>
        <w:jc w:val="both"/>
        <w:rPr>
          <w:lang w:val="uk-UA"/>
        </w:rPr>
      </w:pPr>
      <w:r w:rsidRPr="007D4E50">
        <w:rPr>
          <w:lang w:val="uk-UA"/>
        </w:rPr>
        <w:t>24-27.05 – візит делегації ТМР до партнерського міста Ниса на святкування Днів міста.</w:t>
      </w:r>
    </w:p>
    <w:p w:rsidR="008F52DA" w:rsidRPr="007D4E50" w:rsidRDefault="008F52DA" w:rsidP="00066969">
      <w:pPr>
        <w:numPr>
          <w:ilvl w:val="0"/>
          <w:numId w:val="7"/>
        </w:numPr>
        <w:autoSpaceDE w:val="0"/>
        <w:autoSpaceDN w:val="0"/>
        <w:adjustRightInd w:val="0"/>
        <w:spacing w:line="276" w:lineRule="auto"/>
        <w:ind w:left="0" w:firstLine="851"/>
        <w:jc w:val="both"/>
        <w:rPr>
          <w:lang w:val="uk-UA"/>
        </w:rPr>
      </w:pPr>
      <w:r w:rsidRPr="007D4E50">
        <w:rPr>
          <w:lang w:val="uk-UA"/>
        </w:rPr>
        <w:t>23-28.05 – візит делегації ТМР до м. Хожув на святкування Днів міста.</w:t>
      </w:r>
    </w:p>
    <w:p w:rsidR="008F52DA" w:rsidRPr="007D4E50" w:rsidRDefault="008F52DA" w:rsidP="00066969">
      <w:pPr>
        <w:numPr>
          <w:ilvl w:val="0"/>
          <w:numId w:val="7"/>
        </w:numPr>
        <w:autoSpaceDE w:val="0"/>
        <w:autoSpaceDN w:val="0"/>
        <w:adjustRightInd w:val="0"/>
        <w:spacing w:line="276" w:lineRule="auto"/>
        <w:ind w:left="0" w:firstLine="851"/>
        <w:jc w:val="both"/>
        <w:rPr>
          <w:lang w:val="uk-UA"/>
        </w:rPr>
      </w:pPr>
      <w:r w:rsidRPr="007D4E50">
        <w:rPr>
          <w:lang w:val="uk-UA"/>
        </w:rPr>
        <w:t xml:space="preserve">1-3.06 – юнацька команда КЗ «ДЮСШ з футболу та інших ігрових видів спорту» взяла участь у футбольному турнірі  Кубок Ганзи 2018 в партнерському місті Вільянді, Естонія. </w:t>
      </w:r>
    </w:p>
    <w:p w:rsidR="008F52DA" w:rsidRPr="007D4E50" w:rsidRDefault="008F52DA" w:rsidP="00066969">
      <w:pPr>
        <w:numPr>
          <w:ilvl w:val="0"/>
          <w:numId w:val="7"/>
        </w:numPr>
        <w:spacing w:line="276" w:lineRule="auto"/>
        <w:ind w:left="0" w:firstLine="851"/>
        <w:jc w:val="both"/>
        <w:rPr>
          <w:lang w:val="uk-UA"/>
        </w:rPr>
      </w:pPr>
      <w:r w:rsidRPr="007D4E50">
        <w:rPr>
          <w:lang w:val="uk-UA"/>
        </w:rPr>
        <w:t xml:space="preserve">01-04.06 – візит Стемковського В.В. до партнерського міста  Таураге, Литва з метою участі в Днях міста.  </w:t>
      </w:r>
    </w:p>
    <w:p w:rsidR="008F52DA" w:rsidRPr="007D4E50" w:rsidRDefault="008F52DA" w:rsidP="00066969">
      <w:pPr>
        <w:numPr>
          <w:ilvl w:val="0"/>
          <w:numId w:val="7"/>
        </w:numPr>
        <w:autoSpaceDE w:val="0"/>
        <w:autoSpaceDN w:val="0"/>
        <w:adjustRightInd w:val="0"/>
        <w:spacing w:line="276" w:lineRule="auto"/>
        <w:ind w:left="0" w:firstLine="851"/>
        <w:jc w:val="both"/>
        <w:rPr>
          <w:lang w:val="uk-UA"/>
        </w:rPr>
      </w:pPr>
      <w:r w:rsidRPr="007D4E50">
        <w:rPr>
          <w:lang w:val="uk-UA"/>
        </w:rPr>
        <w:t xml:space="preserve">04.06 – підписання договору про партнерську співпрацю з містом Парма, США , під час візиту міського голови до Парми. </w:t>
      </w:r>
    </w:p>
    <w:p w:rsidR="008F52DA" w:rsidRPr="007D4E50" w:rsidRDefault="008F52DA" w:rsidP="00066969">
      <w:pPr>
        <w:numPr>
          <w:ilvl w:val="0"/>
          <w:numId w:val="7"/>
        </w:numPr>
        <w:autoSpaceDE w:val="0"/>
        <w:autoSpaceDN w:val="0"/>
        <w:adjustRightInd w:val="0"/>
        <w:spacing w:line="276" w:lineRule="auto"/>
        <w:ind w:left="0" w:firstLine="851"/>
        <w:jc w:val="both"/>
        <w:rPr>
          <w:lang w:val="uk-UA"/>
        </w:rPr>
      </w:pPr>
      <w:r w:rsidRPr="007D4E50">
        <w:rPr>
          <w:lang w:val="uk-UA"/>
        </w:rPr>
        <w:t>21-23.06 – участь делегації ТМР в Днях партнерського міста Тарнув.</w:t>
      </w:r>
    </w:p>
    <w:p w:rsidR="008F52DA" w:rsidRPr="007D4E50" w:rsidRDefault="008F52DA" w:rsidP="00066969">
      <w:pPr>
        <w:numPr>
          <w:ilvl w:val="0"/>
          <w:numId w:val="7"/>
        </w:numPr>
        <w:spacing w:line="276" w:lineRule="auto"/>
        <w:ind w:left="0" w:firstLine="851"/>
        <w:jc w:val="both"/>
        <w:rPr>
          <w:lang w:val="uk-UA"/>
        </w:rPr>
      </w:pPr>
      <w:r w:rsidRPr="007D4E50">
        <w:rPr>
          <w:lang w:val="uk-UA"/>
        </w:rPr>
        <w:t>01-04.06 – візит делегації ТМР до міста Ельблонг для участі в спортивному заході Біг Пєкарчика.</w:t>
      </w:r>
    </w:p>
    <w:p w:rsidR="008F52DA" w:rsidRPr="007D4E50" w:rsidRDefault="008F52DA" w:rsidP="00066969">
      <w:pPr>
        <w:numPr>
          <w:ilvl w:val="0"/>
          <w:numId w:val="7"/>
        </w:numPr>
        <w:spacing w:line="276" w:lineRule="auto"/>
        <w:ind w:left="0" w:firstLine="851"/>
        <w:jc w:val="both"/>
        <w:rPr>
          <w:lang w:val="uk-UA"/>
        </w:rPr>
      </w:pPr>
      <w:r w:rsidRPr="007D4E50">
        <w:rPr>
          <w:lang w:val="uk-UA"/>
        </w:rPr>
        <w:t>10.08-13.08 – участь делегації ТМР у святкуванні Днів міста Сувалки.</w:t>
      </w:r>
    </w:p>
    <w:p w:rsidR="008F52DA" w:rsidRPr="007D4E50" w:rsidRDefault="008F52DA" w:rsidP="00066969">
      <w:pPr>
        <w:pStyle w:val="a3"/>
        <w:numPr>
          <w:ilvl w:val="0"/>
          <w:numId w:val="7"/>
        </w:numPr>
        <w:suppressAutoHyphens/>
        <w:spacing w:line="276" w:lineRule="auto"/>
        <w:ind w:left="0" w:firstLine="851"/>
        <w:contextualSpacing w:val="0"/>
        <w:jc w:val="both"/>
        <w:rPr>
          <w:lang w:val="uk-UA"/>
        </w:rPr>
      </w:pPr>
      <w:r w:rsidRPr="007D4E50">
        <w:rPr>
          <w:lang w:val="uk-UA"/>
        </w:rPr>
        <w:t xml:space="preserve">31.08-03.09 – візит делегації міської ради в м. Ельблонг на День міста </w:t>
      </w:r>
    </w:p>
    <w:p w:rsidR="008F52DA" w:rsidRPr="007D4E50" w:rsidRDefault="008F52DA" w:rsidP="00066969">
      <w:pPr>
        <w:pStyle w:val="a3"/>
        <w:numPr>
          <w:ilvl w:val="0"/>
          <w:numId w:val="7"/>
        </w:numPr>
        <w:suppressAutoHyphens/>
        <w:spacing w:line="276" w:lineRule="auto"/>
        <w:ind w:left="0" w:firstLine="851"/>
        <w:contextualSpacing w:val="0"/>
        <w:jc w:val="both"/>
        <w:rPr>
          <w:lang w:val="uk-UA"/>
        </w:rPr>
      </w:pPr>
      <w:r w:rsidRPr="007D4E50">
        <w:rPr>
          <w:lang w:val="uk-UA"/>
        </w:rPr>
        <w:t xml:space="preserve">1-2 вересня – участь юнацької команди СДЮСШ з футболу у футбольному турнірі в Новому Томишлі.  </w:t>
      </w:r>
    </w:p>
    <w:p w:rsidR="008F52DA" w:rsidRPr="007D4E50" w:rsidRDefault="008F52DA" w:rsidP="00066969">
      <w:pPr>
        <w:pStyle w:val="a3"/>
        <w:numPr>
          <w:ilvl w:val="0"/>
          <w:numId w:val="7"/>
        </w:numPr>
        <w:suppressAutoHyphens/>
        <w:spacing w:line="276" w:lineRule="auto"/>
        <w:ind w:left="0" w:firstLine="851"/>
        <w:contextualSpacing w:val="0"/>
        <w:jc w:val="both"/>
        <w:rPr>
          <w:lang w:val="uk-UA"/>
        </w:rPr>
      </w:pPr>
      <w:r w:rsidRPr="007D4E50">
        <w:rPr>
          <w:lang w:val="uk-UA"/>
        </w:rPr>
        <w:t>31.08-03.09 – візит депутатів міської ради в місто Батумі на Дні міста.</w:t>
      </w:r>
    </w:p>
    <w:p w:rsidR="008F52DA" w:rsidRPr="007D4E50" w:rsidRDefault="008F52DA" w:rsidP="00066969">
      <w:pPr>
        <w:pStyle w:val="a3"/>
        <w:numPr>
          <w:ilvl w:val="0"/>
          <w:numId w:val="7"/>
        </w:numPr>
        <w:suppressAutoHyphens/>
        <w:spacing w:line="276" w:lineRule="auto"/>
        <w:ind w:left="0" w:firstLine="851"/>
        <w:contextualSpacing w:val="0"/>
        <w:jc w:val="both"/>
        <w:rPr>
          <w:lang w:val="uk-UA"/>
        </w:rPr>
      </w:pPr>
      <w:r w:rsidRPr="007D4E50">
        <w:rPr>
          <w:lang w:val="uk-UA"/>
        </w:rPr>
        <w:t>16-21.09 - візит делегації ТМР до партнерського міста Вільянді, Естонія в рамках проекту «Вивчення досвіду Естонського самоврядування з громадськими організаціями». Встановлення контакту з Естонським центром східного партнерства та представництвом уряду Фландрії в Польщі та Балтії.</w:t>
      </w:r>
    </w:p>
    <w:p w:rsidR="008F52DA" w:rsidRPr="007D4E50" w:rsidRDefault="008F52DA" w:rsidP="00066969">
      <w:pPr>
        <w:numPr>
          <w:ilvl w:val="0"/>
          <w:numId w:val="7"/>
        </w:numPr>
        <w:spacing w:line="276" w:lineRule="auto"/>
        <w:ind w:left="0" w:firstLine="851"/>
        <w:jc w:val="both"/>
        <w:rPr>
          <w:lang w:val="uk-UA"/>
        </w:rPr>
      </w:pPr>
      <w:r w:rsidRPr="007D4E50">
        <w:rPr>
          <w:lang w:val="uk-UA"/>
        </w:rPr>
        <w:t>13-20.10 –  візит міського голови в китайське місто Чжанцзяцзе. Підписано угоду про вступ Тернополя до Альянсу міст «Шовкового шляху».</w:t>
      </w:r>
    </w:p>
    <w:p w:rsidR="008F52DA" w:rsidRPr="007D4E50" w:rsidRDefault="008F52DA" w:rsidP="00066969">
      <w:pPr>
        <w:numPr>
          <w:ilvl w:val="0"/>
          <w:numId w:val="7"/>
        </w:numPr>
        <w:autoSpaceDE w:val="0"/>
        <w:autoSpaceDN w:val="0"/>
        <w:adjustRightInd w:val="0"/>
        <w:spacing w:line="276" w:lineRule="auto"/>
        <w:ind w:left="0" w:firstLine="851"/>
        <w:jc w:val="both"/>
        <w:rPr>
          <w:lang w:val="uk-UA"/>
        </w:rPr>
      </w:pPr>
      <w:r w:rsidRPr="007D4E50">
        <w:rPr>
          <w:lang w:val="uk-UA"/>
        </w:rPr>
        <w:t>22-25.10 – візит міського голови до партнерського міста Слівен на святкування Днів міста</w:t>
      </w:r>
    </w:p>
    <w:p w:rsidR="008F52DA" w:rsidRPr="007D4E50" w:rsidRDefault="008F52DA" w:rsidP="00066969">
      <w:pPr>
        <w:numPr>
          <w:ilvl w:val="0"/>
          <w:numId w:val="7"/>
        </w:numPr>
        <w:autoSpaceDE w:val="0"/>
        <w:autoSpaceDN w:val="0"/>
        <w:adjustRightInd w:val="0"/>
        <w:spacing w:line="276" w:lineRule="auto"/>
        <w:ind w:left="0" w:firstLine="851"/>
        <w:jc w:val="both"/>
        <w:rPr>
          <w:lang w:val="uk-UA"/>
        </w:rPr>
      </w:pPr>
      <w:r w:rsidRPr="007D4E50">
        <w:rPr>
          <w:lang w:val="uk-UA"/>
        </w:rPr>
        <w:t xml:space="preserve">23-25.09 – візит делегації ТМР на 7 Конгрес ініціатив Східної Європи у Любліні. </w:t>
      </w:r>
    </w:p>
    <w:p w:rsidR="008F52DA" w:rsidRPr="007D4E50" w:rsidRDefault="008F52DA" w:rsidP="00066969">
      <w:pPr>
        <w:numPr>
          <w:ilvl w:val="0"/>
          <w:numId w:val="7"/>
        </w:numPr>
        <w:autoSpaceDE w:val="0"/>
        <w:autoSpaceDN w:val="0"/>
        <w:adjustRightInd w:val="0"/>
        <w:spacing w:line="276" w:lineRule="auto"/>
        <w:ind w:left="0" w:firstLine="851"/>
        <w:jc w:val="both"/>
        <w:rPr>
          <w:lang w:val="uk-UA"/>
        </w:rPr>
      </w:pPr>
      <w:r w:rsidRPr="007D4E50">
        <w:rPr>
          <w:lang w:val="uk-UA"/>
        </w:rPr>
        <w:t>25-26.10 – візит делегації ТМР до партнерського міста Сувалки на економічний форум.</w:t>
      </w:r>
    </w:p>
    <w:p w:rsidR="008F52DA" w:rsidRPr="007D4E50" w:rsidRDefault="008F52DA" w:rsidP="00066969">
      <w:pPr>
        <w:widowControl w:val="0"/>
        <w:spacing w:line="276" w:lineRule="auto"/>
        <w:ind w:firstLine="851"/>
        <w:jc w:val="both"/>
        <w:rPr>
          <w:i/>
          <w:lang w:val="uk-UA"/>
        </w:rPr>
      </w:pPr>
      <w:r w:rsidRPr="007D4E50">
        <w:rPr>
          <w:i/>
          <w:lang w:val="uk-UA"/>
        </w:rPr>
        <w:t xml:space="preserve">3. Співпраця з </w:t>
      </w:r>
      <w:r w:rsidRPr="007D4E50">
        <w:rPr>
          <w:b/>
          <w:i/>
          <w:lang w:val="uk-UA"/>
        </w:rPr>
        <w:t>дипломатичними установами</w:t>
      </w:r>
      <w:r w:rsidRPr="007D4E50">
        <w:rPr>
          <w:i/>
          <w:lang w:val="uk-UA"/>
        </w:rPr>
        <w:t xml:space="preserve"> іноземних держав та українськими дипломатичними установами за кордоном. </w:t>
      </w:r>
    </w:p>
    <w:p w:rsidR="008F52DA" w:rsidRPr="007D4E50" w:rsidRDefault="008F52DA" w:rsidP="00066969">
      <w:pPr>
        <w:numPr>
          <w:ilvl w:val="0"/>
          <w:numId w:val="15"/>
        </w:numPr>
        <w:autoSpaceDE w:val="0"/>
        <w:autoSpaceDN w:val="0"/>
        <w:adjustRightInd w:val="0"/>
        <w:spacing w:line="276" w:lineRule="auto"/>
        <w:ind w:left="0" w:firstLine="851"/>
        <w:jc w:val="both"/>
        <w:rPr>
          <w:lang w:val="uk-UA"/>
        </w:rPr>
      </w:pPr>
      <w:r w:rsidRPr="007D4E50">
        <w:rPr>
          <w:lang w:val="uk-UA"/>
        </w:rPr>
        <w:t>22.01 – візит ІІ Секретаря Посольства Чехії – директора Чеського культурного центру по обміну інформацією, щодо культурних заходів в яких можуть приймати участь, як тернопільські колективи в Чехії, так і чеські колективи в місті Тернопіль.</w:t>
      </w:r>
    </w:p>
    <w:p w:rsidR="008F52DA" w:rsidRPr="007D4E50" w:rsidRDefault="008F52DA" w:rsidP="00066969">
      <w:pPr>
        <w:numPr>
          <w:ilvl w:val="0"/>
          <w:numId w:val="15"/>
        </w:numPr>
        <w:autoSpaceDE w:val="0"/>
        <w:autoSpaceDN w:val="0"/>
        <w:adjustRightInd w:val="0"/>
        <w:spacing w:line="276" w:lineRule="auto"/>
        <w:ind w:left="0" w:firstLine="851"/>
        <w:jc w:val="both"/>
        <w:rPr>
          <w:lang w:val="uk-UA"/>
        </w:rPr>
      </w:pPr>
      <w:r w:rsidRPr="007D4E50">
        <w:rPr>
          <w:lang w:val="uk-UA"/>
        </w:rPr>
        <w:t>28.03 – Візит дипломатичної делегації Генерального консульства Республіки Польща в Луцьку: генерального консула та віце-консула. Робочий візит, обговорення поточного стану відносин, проведення спільних акцій, обговорення участі польських міст – партнерів в заходах, присвячених Дням Європи в Україні, взаємний обмін інформацією.</w:t>
      </w:r>
    </w:p>
    <w:p w:rsidR="008F52DA" w:rsidRPr="007D4E50" w:rsidRDefault="008F52DA" w:rsidP="00066969">
      <w:pPr>
        <w:numPr>
          <w:ilvl w:val="0"/>
          <w:numId w:val="15"/>
        </w:numPr>
        <w:tabs>
          <w:tab w:val="left" w:pos="142"/>
        </w:tabs>
        <w:autoSpaceDE w:val="0"/>
        <w:autoSpaceDN w:val="0"/>
        <w:adjustRightInd w:val="0"/>
        <w:spacing w:line="276" w:lineRule="auto"/>
        <w:ind w:left="0" w:firstLine="851"/>
        <w:jc w:val="both"/>
        <w:rPr>
          <w:lang w:val="uk-UA"/>
        </w:rPr>
      </w:pPr>
      <w:r w:rsidRPr="007D4E50">
        <w:rPr>
          <w:lang w:val="uk-UA"/>
        </w:rPr>
        <w:t>11.05 – участь начальника відділу міжнародного співробітництва і туризму Кашицького В.В. в урочистих заходах в Генеральному консульстві РП в Луцьку з нагоди національного свята Польщі 3 травня.</w:t>
      </w:r>
    </w:p>
    <w:p w:rsidR="008F52DA" w:rsidRPr="007D4E50" w:rsidRDefault="008F52DA" w:rsidP="00066969">
      <w:pPr>
        <w:numPr>
          <w:ilvl w:val="0"/>
          <w:numId w:val="15"/>
        </w:numPr>
        <w:tabs>
          <w:tab w:val="left" w:pos="142"/>
        </w:tabs>
        <w:autoSpaceDE w:val="0"/>
        <w:autoSpaceDN w:val="0"/>
        <w:adjustRightInd w:val="0"/>
        <w:spacing w:line="276" w:lineRule="auto"/>
        <w:ind w:left="0" w:firstLine="851"/>
        <w:jc w:val="both"/>
        <w:rPr>
          <w:lang w:val="uk-UA"/>
        </w:rPr>
      </w:pPr>
      <w:r w:rsidRPr="007D4E50">
        <w:rPr>
          <w:lang w:val="uk-UA"/>
        </w:rPr>
        <w:t xml:space="preserve">20.06 – зустріч міського голови з делегацією Посольства США в Україні. </w:t>
      </w:r>
    </w:p>
    <w:p w:rsidR="008F52DA" w:rsidRPr="007D4E50" w:rsidRDefault="008F52DA" w:rsidP="00066969">
      <w:pPr>
        <w:numPr>
          <w:ilvl w:val="0"/>
          <w:numId w:val="15"/>
        </w:numPr>
        <w:autoSpaceDE w:val="0"/>
        <w:autoSpaceDN w:val="0"/>
        <w:adjustRightInd w:val="0"/>
        <w:spacing w:line="276" w:lineRule="auto"/>
        <w:ind w:left="0" w:firstLine="851"/>
        <w:jc w:val="both"/>
        <w:rPr>
          <w:lang w:val="uk-UA"/>
        </w:rPr>
      </w:pPr>
      <w:r w:rsidRPr="007D4E50">
        <w:rPr>
          <w:lang w:val="uk-UA"/>
        </w:rPr>
        <w:t>25.05 – візит посла Фінляндії в Україні з дружиною. Зустріч в міській раді.</w:t>
      </w:r>
    </w:p>
    <w:p w:rsidR="008F52DA" w:rsidRPr="007D4E50" w:rsidRDefault="008F52DA" w:rsidP="00066969">
      <w:pPr>
        <w:numPr>
          <w:ilvl w:val="0"/>
          <w:numId w:val="15"/>
        </w:numPr>
        <w:tabs>
          <w:tab w:val="left" w:pos="142"/>
        </w:tabs>
        <w:autoSpaceDE w:val="0"/>
        <w:autoSpaceDN w:val="0"/>
        <w:adjustRightInd w:val="0"/>
        <w:spacing w:line="276" w:lineRule="auto"/>
        <w:ind w:left="0" w:firstLine="851"/>
        <w:jc w:val="both"/>
        <w:rPr>
          <w:lang w:val="uk-UA"/>
        </w:rPr>
      </w:pPr>
      <w:r w:rsidRPr="007D4E50">
        <w:rPr>
          <w:lang w:val="uk-UA"/>
        </w:rPr>
        <w:t>20.06 – візит представників посольства США в Україні.</w:t>
      </w:r>
    </w:p>
    <w:p w:rsidR="008F52DA" w:rsidRPr="007D4E50" w:rsidRDefault="008F52DA" w:rsidP="00066969">
      <w:pPr>
        <w:numPr>
          <w:ilvl w:val="0"/>
          <w:numId w:val="15"/>
        </w:numPr>
        <w:autoSpaceDE w:val="0"/>
        <w:autoSpaceDN w:val="0"/>
        <w:adjustRightInd w:val="0"/>
        <w:spacing w:line="276" w:lineRule="auto"/>
        <w:ind w:left="0" w:firstLine="851"/>
        <w:jc w:val="both"/>
        <w:rPr>
          <w:lang w:val="uk-UA"/>
        </w:rPr>
      </w:pPr>
      <w:r w:rsidRPr="007D4E50">
        <w:rPr>
          <w:lang w:val="uk-UA"/>
        </w:rPr>
        <w:t>22.09 – зустріч міського голови з Послом Індії в Україні</w:t>
      </w:r>
    </w:p>
    <w:p w:rsidR="008F52DA" w:rsidRPr="007D4E50" w:rsidRDefault="008F52DA" w:rsidP="00066969">
      <w:pPr>
        <w:numPr>
          <w:ilvl w:val="0"/>
          <w:numId w:val="15"/>
        </w:numPr>
        <w:tabs>
          <w:tab w:val="left" w:pos="142"/>
        </w:tabs>
        <w:autoSpaceDE w:val="0"/>
        <w:autoSpaceDN w:val="0"/>
        <w:adjustRightInd w:val="0"/>
        <w:spacing w:line="276" w:lineRule="auto"/>
        <w:ind w:left="0" w:firstLine="851"/>
        <w:jc w:val="both"/>
        <w:rPr>
          <w:lang w:val="uk-UA"/>
        </w:rPr>
      </w:pPr>
      <w:r w:rsidRPr="007D4E50">
        <w:rPr>
          <w:lang w:val="uk-UA"/>
        </w:rPr>
        <w:t xml:space="preserve">24.10 – Участь начальника відділу міжнародного співробітництва і туризму Кашицького В.В. в урочистих заходах в Генеральному консульстві Чеської Республіки у Львові з нагоди національного свята Чеської Республіки та 100-ої річниці заснування держави Чехословаччина. </w:t>
      </w:r>
    </w:p>
    <w:p w:rsidR="008F52DA" w:rsidRPr="007D4E50" w:rsidRDefault="008F52DA" w:rsidP="00066969">
      <w:pPr>
        <w:widowControl w:val="0"/>
        <w:spacing w:line="276" w:lineRule="auto"/>
        <w:ind w:firstLine="851"/>
        <w:jc w:val="both"/>
        <w:rPr>
          <w:i/>
          <w:lang w:val="uk-UA"/>
        </w:rPr>
      </w:pPr>
      <w:r w:rsidRPr="007D4E50">
        <w:rPr>
          <w:i/>
          <w:lang w:val="uk-UA"/>
        </w:rPr>
        <w:t xml:space="preserve">4. Налагодження співпраці між </w:t>
      </w:r>
      <w:r w:rsidRPr="007D4E50">
        <w:rPr>
          <w:b/>
          <w:i/>
          <w:lang w:val="uk-UA"/>
        </w:rPr>
        <w:t>освітніми</w:t>
      </w:r>
      <w:r w:rsidRPr="007D4E50">
        <w:rPr>
          <w:i/>
          <w:lang w:val="uk-UA"/>
        </w:rPr>
        <w:t xml:space="preserve"> закладами Тернополя та партнерських міст. </w:t>
      </w:r>
    </w:p>
    <w:p w:rsidR="008F52DA" w:rsidRPr="007D4E50" w:rsidRDefault="008F52DA" w:rsidP="00066969">
      <w:pPr>
        <w:numPr>
          <w:ilvl w:val="0"/>
          <w:numId w:val="8"/>
        </w:numPr>
        <w:autoSpaceDE w:val="0"/>
        <w:autoSpaceDN w:val="0"/>
        <w:adjustRightInd w:val="0"/>
        <w:spacing w:line="276" w:lineRule="auto"/>
        <w:ind w:left="0" w:firstLine="851"/>
        <w:jc w:val="both"/>
        <w:rPr>
          <w:lang w:val="uk-UA"/>
        </w:rPr>
      </w:pPr>
      <w:r w:rsidRPr="007D4E50">
        <w:rPr>
          <w:lang w:val="uk-UA"/>
        </w:rPr>
        <w:t>18-21.02 – візит делегації ректорів та представників Тернопільської міської ради до Ельблонга (Польща). Обмін досвідом між навчальними закладами міста Тернополя та Ельблонга. Обговорення питань щодо написання спільних проектів.</w:t>
      </w:r>
    </w:p>
    <w:p w:rsidR="008F52DA" w:rsidRPr="007D4E50" w:rsidRDefault="008F52DA" w:rsidP="00066969">
      <w:pPr>
        <w:numPr>
          <w:ilvl w:val="0"/>
          <w:numId w:val="8"/>
        </w:numPr>
        <w:autoSpaceDE w:val="0"/>
        <w:autoSpaceDN w:val="0"/>
        <w:adjustRightInd w:val="0"/>
        <w:spacing w:line="276" w:lineRule="auto"/>
        <w:ind w:left="0" w:firstLine="851"/>
        <w:jc w:val="both"/>
        <w:rPr>
          <w:lang w:val="uk-UA"/>
        </w:rPr>
      </w:pPr>
      <w:r w:rsidRPr="007D4E50">
        <w:rPr>
          <w:lang w:val="uk-UA"/>
        </w:rPr>
        <w:t>07.03 – підписання договору ТНПУ – ТОВ «Фортеця» – «Виспа» (Польща, Хожув).</w:t>
      </w:r>
    </w:p>
    <w:p w:rsidR="008F52DA" w:rsidRPr="007D4E50" w:rsidRDefault="008F52DA" w:rsidP="00066969">
      <w:pPr>
        <w:numPr>
          <w:ilvl w:val="0"/>
          <w:numId w:val="8"/>
        </w:numPr>
        <w:autoSpaceDE w:val="0"/>
        <w:autoSpaceDN w:val="0"/>
        <w:adjustRightInd w:val="0"/>
        <w:spacing w:line="276" w:lineRule="auto"/>
        <w:ind w:left="0" w:firstLine="851"/>
        <w:jc w:val="both"/>
        <w:rPr>
          <w:lang w:val="uk-UA"/>
        </w:rPr>
      </w:pPr>
      <w:r w:rsidRPr="007D4E50">
        <w:rPr>
          <w:lang w:val="uk-UA"/>
        </w:rPr>
        <w:t>13.03 –налагоджена співпраці між ЗОШ №3 м. Тернополя та ліцеєм №1 партнерського міста Сувалки, Польща.</w:t>
      </w:r>
    </w:p>
    <w:p w:rsidR="008F52DA" w:rsidRPr="007D4E50" w:rsidRDefault="008F52DA" w:rsidP="00066969">
      <w:pPr>
        <w:numPr>
          <w:ilvl w:val="0"/>
          <w:numId w:val="8"/>
        </w:numPr>
        <w:autoSpaceDE w:val="0"/>
        <w:autoSpaceDN w:val="0"/>
        <w:adjustRightInd w:val="0"/>
        <w:spacing w:line="276" w:lineRule="auto"/>
        <w:ind w:left="0" w:firstLine="851"/>
        <w:jc w:val="both"/>
        <w:rPr>
          <w:lang w:val="uk-UA"/>
        </w:rPr>
      </w:pPr>
      <w:r w:rsidRPr="007D4E50">
        <w:rPr>
          <w:lang w:val="uk-UA"/>
        </w:rPr>
        <w:t>15.03 – візит Голови Головної Пластової Булави (вищий керівний орган Пласту в світі) (США) – обговорення питань співпраці між владою Тернополя та Пластом. Ініціативи щодо проведення молодіжних пластових таборів на базі Тернополя. Поширення міської програми підтримки Пласту на території Тернопільської області та України. Можливість запровадження міських стипендій для найбільш активних студентів-волонтерів.</w:t>
      </w:r>
    </w:p>
    <w:p w:rsidR="008F52DA" w:rsidRPr="007D4E50" w:rsidRDefault="008F52DA" w:rsidP="00066969">
      <w:pPr>
        <w:numPr>
          <w:ilvl w:val="0"/>
          <w:numId w:val="8"/>
        </w:numPr>
        <w:autoSpaceDE w:val="0"/>
        <w:autoSpaceDN w:val="0"/>
        <w:adjustRightInd w:val="0"/>
        <w:spacing w:line="276" w:lineRule="auto"/>
        <w:ind w:left="0" w:firstLine="851"/>
        <w:jc w:val="both"/>
        <w:rPr>
          <w:lang w:val="uk-UA"/>
        </w:rPr>
      </w:pPr>
      <w:r w:rsidRPr="007D4E50">
        <w:rPr>
          <w:lang w:val="uk-UA"/>
        </w:rPr>
        <w:t>30-31.03 – участь та виступи Дейнеки Ю.П. та Кашицького В.В. в І Міжнародному студентському форумі «Креативна економіка очима молоді» в Технічному університеті.</w:t>
      </w:r>
    </w:p>
    <w:p w:rsidR="008F52DA" w:rsidRPr="007D4E50" w:rsidRDefault="008F52DA" w:rsidP="00066969">
      <w:pPr>
        <w:numPr>
          <w:ilvl w:val="0"/>
          <w:numId w:val="8"/>
        </w:numPr>
        <w:spacing w:line="276" w:lineRule="auto"/>
        <w:ind w:left="0" w:firstLine="851"/>
        <w:jc w:val="both"/>
        <w:rPr>
          <w:lang w:val="uk-UA"/>
        </w:rPr>
      </w:pPr>
      <w:r w:rsidRPr="007D4E50">
        <w:rPr>
          <w:lang w:val="uk-UA"/>
        </w:rPr>
        <w:t>21.05 – участь делегації Батумі в круглому столі , приуроченому Дням Європи, в Педагогічному університеті.</w:t>
      </w:r>
    </w:p>
    <w:p w:rsidR="008F52DA" w:rsidRPr="007D4E50" w:rsidRDefault="008F52DA" w:rsidP="00066969">
      <w:pPr>
        <w:numPr>
          <w:ilvl w:val="0"/>
          <w:numId w:val="8"/>
        </w:numPr>
        <w:spacing w:line="276" w:lineRule="auto"/>
        <w:ind w:left="0" w:firstLine="851"/>
        <w:jc w:val="both"/>
        <w:rPr>
          <w:lang w:val="uk-UA"/>
        </w:rPr>
      </w:pPr>
      <w:r w:rsidRPr="007D4E50">
        <w:rPr>
          <w:lang w:val="uk-UA"/>
        </w:rPr>
        <w:t>29.05 – відбулася зустріч представника чеського посольства в Україні з учнями, студентами та керівниками Тернопільських вузів.</w:t>
      </w:r>
    </w:p>
    <w:p w:rsidR="008F52DA" w:rsidRPr="007D4E50" w:rsidRDefault="008F52DA" w:rsidP="00066969">
      <w:pPr>
        <w:numPr>
          <w:ilvl w:val="0"/>
          <w:numId w:val="8"/>
        </w:numPr>
        <w:spacing w:line="276" w:lineRule="auto"/>
        <w:ind w:left="0" w:firstLine="851"/>
        <w:jc w:val="both"/>
        <w:rPr>
          <w:lang w:val="uk-UA"/>
        </w:rPr>
      </w:pPr>
      <w:r w:rsidRPr="007D4E50">
        <w:rPr>
          <w:lang w:val="uk-UA"/>
        </w:rPr>
        <w:t xml:space="preserve">30.05 – відкриття лабораторії ресторанного обслуговування в рамках реалізації німецько-польсько-українського проекту «Через шлунок до спільної Європи без кордонів» в Галицькому коледжі. Даний проект передбачає тристоронні обміни між студентами і викладачами учасників проекту з Тернополя, польського міста Збоншинь та німецького міста Вердер.  </w:t>
      </w:r>
    </w:p>
    <w:p w:rsidR="008F52DA" w:rsidRPr="007D4E50" w:rsidRDefault="008F52DA" w:rsidP="00066969">
      <w:pPr>
        <w:numPr>
          <w:ilvl w:val="0"/>
          <w:numId w:val="8"/>
        </w:numPr>
        <w:spacing w:line="276" w:lineRule="auto"/>
        <w:ind w:left="0" w:firstLine="851"/>
        <w:jc w:val="both"/>
        <w:rPr>
          <w:lang w:val="uk-UA"/>
        </w:rPr>
      </w:pPr>
      <w:r w:rsidRPr="007D4E50">
        <w:rPr>
          <w:lang w:val="uk-UA"/>
        </w:rPr>
        <w:t>30-31.05 – започатковані контакти між Технічним та Економічним університетами з Познанською банківською школою (Польща).</w:t>
      </w:r>
    </w:p>
    <w:p w:rsidR="008F52DA" w:rsidRPr="007D4E50" w:rsidRDefault="008F52DA" w:rsidP="00066969">
      <w:pPr>
        <w:numPr>
          <w:ilvl w:val="0"/>
          <w:numId w:val="8"/>
        </w:numPr>
        <w:spacing w:line="276" w:lineRule="auto"/>
        <w:ind w:left="0" w:firstLine="851"/>
        <w:jc w:val="both"/>
        <w:rPr>
          <w:lang w:val="uk-UA"/>
        </w:rPr>
      </w:pPr>
      <w:r w:rsidRPr="007D4E50">
        <w:rPr>
          <w:lang w:val="uk-UA"/>
        </w:rPr>
        <w:t>Мерія партнерського міста Тарнув вже другий рік поспіль організовує стажування вчителя польської мови ЗОШ№11 за власні кошти мерії Тарнува. У 2018 році стажування проходило 18-24 червня.</w:t>
      </w:r>
    </w:p>
    <w:p w:rsidR="008F52DA" w:rsidRPr="007D4E50" w:rsidRDefault="008F52DA" w:rsidP="00066969">
      <w:pPr>
        <w:numPr>
          <w:ilvl w:val="0"/>
          <w:numId w:val="8"/>
        </w:numPr>
        <w:spacing w:line="276" w:lineRule="auto"/>
        <w:ind w:left="0" w:firstLine="851"/>
        <w:jc w:val="both"/>
        <w:rPr>
          <w:lang w:val="uk-UA"/>
        </w:rPr>
      </w:pPr>
      <w:r w:rsidRPr="007D4E50">
        <w:rPr>
          <w:lang w:val="uk-UA"/>
        </w:rPr>
        <w:t>10.09 – візит працівників освіти міста ЄленяГура до Тернополя, в рамках якого підписано  договори про співпрацю: між управлінням освіти та науки ТМР та відділом освіти міської ради міста ЄлєняГура, між трьома школамиЄлєньоїГури та Галицьким коледжем ім. В. Чорновола (два договори) та ЗОШ №15 міста Тернополя.</w:t>
      </w:r>
    </w:p>
    <w:p w:rsidR="008F52DA" w:rsidRPr="007D4E50" w:rsidRDefault="008F52DA" w:rsidP="00066969">
      <w:pPr>
        <w:pStyle w:val="a3"/>
        <w:numPr>
          <w:ilvl w:val="0"/>
          <w:numId w:val="8"/>
        </w:numPr>
        <w:suppressAutoHyphens/>
        <w:spacing w:line="276" w:lineRule="auto"/>
        <w:ind w:left="0" w:firstLine="851"/>
        <w:contextualSpacing w:val="0"/>
        <w:jc w:val="both"/>
        <w:rPr>
          <w:lang w:val="uk-UA"/>
        </w:rPr>
      </w:pPr>
      <w:r w:rsidRPr="007D4E50">
        <w:rPr>
          <w:lang w:val="uk-UA"/>
        </w:rPr>
        <w:t>Організовано співпрацю школи №28 м. Тернополя зі школою №1 м. Плонська.</w:t>
      </w:r>
    </w:p>
    <w:p w:rsidR="008F52DA" w:rsidRPr="007D4E50" w:rsidRDefault="008F52DA" w:rsidP="00066969">
      <w:pPr>
        <w:numPr>
          <w:ilvl w:val="0"/>
          <w:numId w:val="8"/>
        </w:numPr>
        <w:autoSpaceDE w:val="0"/>
        <w:autoSpaceDN w:val="0"/>
        <w:adjustRightInd w:val="0"/>
        <w:spacing w:line="276" w:lineRule="auto"/>
        <w:ind w:left="0" w:firstLine="851"/>
        <w:jc w:val="both"/>
        <w:rPr>
          <w:lang w:val="uk-UA"/>
        </w:rPr>
      </w:pPr>
      <w:r w:rsidRPr="007D4E50">
        <w:rPr>
          <w:lang w:val="uk-UA"/>
        </w:rPr>
        <w:t>Візит 10 учнів школи №28 до міста Плонськ.</w:t>
      </w:r>
    </w:p>
    <w:p w:rsidR="008F52DA" w:rsidRPr="007D4E50" w:rsidRDefault="008F52DA" w:rsidP="00066969">
      <w:pPr>
        <w:widowControl w:val="0"/>
        <w:spacing w:line="276" w:lineRule="auto"/>
        <w:ind w:firstLine="851"/>
        <w:jc w:val="both"/>
        <w:rPr>
          <w:lang w:val="uk-UA"/>
        </w:rPr>
      </w:pPr>
    </w:p>
    <w:p w:rsidR="008F52DA" w:rsidRPr="007D4E50" w:rsidRDefault="008F52DA" w:rsidP="00066969">
      <w:pPr>
        <w:widowControl w:val="0"/>
        <w:spacing w:line="276" w:lineRule="auto"/>
        <w:ind w:firstLine="851"/>
        <w:jc w:val="center"/>
        <w:rPr>
          <w:b/>
          <w:lang w:val="uk-UA"/>
        </w:rPr>
      </w:pPr>
      <w:r w:rsidRPr="007D4E50">
        <w:rPr>
          <w:b/>
          <w:lang w:val="uk-UA"/>
        </w:rPr>
        <w:t>2. Туризм</w:t>
      </w:r>
    </w:p>
    <w:p w:rsidR="008F52DA" w:rsidRPr="00BB3B63" w:rsidRDefault="008F52DA" w:rsidP="00066969">
      <w:pPr>
        <w:widowControl w:val="0"/>
        <w:spacing w:line="276" w:lineRule="auto"/>
        <w:ind w:firstLine="851"/>
        <w:jc w:val="both"/>
        <w:rPr>
          <w:lang w:val="uk-UA"/>
        </w:rPr>
      </w:pPr>
      <w:r w:rsidRPr="00BB3B63">
        <w:rPr>
          <w:lang w:val="uk-UA"/>
        </w:rPr>
        <w:t>Туризм стає однією з провідних галузей економіки міста. Як наслідок, розвиток сфери гостинності визначено як один з стратегічних напрямів формування конкурентоспроможної економіки міста в межах Плану стратегічного розвитку міста Тернополя до 2025 року.</w:t>
      </w:r>
    </w:p>
    <w:p w:rsidR="008F52DA" w:rsidRPr="007D4E50" w:rsidRDefault="008F52DA" w:rsidP="00066969">
      <w:pPr>
        <w:widowControl w:val="0"/>
        <w:spacing w:line="276" w:lineRule="auto"/>
        <w:ind w:firstLine="851"/>
        <w:jc w:val="both"/>
        <w:rPr>
          <w:lang w:val="uk-UA"/>
        </w:rPr>
      </w:pPr>
      <w:r w:rsidRPr="007D4E50">
        <w:rPr>
          <w:kern w:val="1"/>
          <w:lang w:val="uk-UA"/>
        </w:rPr>
        <w:t>Відновлено роботу КП «Туристично-інформаційний центр міста Тернополя». Його презентація відбулася 27 вересня 2016 року – у Міжнародний день туризму.</w:t>
      </w:r>
    </w:p>
    <w:p w:rsidR="008F52DA" w:rsidRPr="007D4E50" w:rsidRDefault="008F52DA" w:rsidP="00066969">
      <w:pPr>
        <w:widowControl w:val="0"/>
        <w:spacing w:line="276" w:lineRule="auto"/>
        <w:ind w:firstLine="851"/>
        <w:jc w:val="both"/>
        <w:rPr>
          <w:kern w:val="1"/>
          <w:lang w:val="uk-UA"/>
        </w:rPr>
      </w:pPr>
      <w:r w:rsidRPr="007D4E50">
        <w:rPr>
          <w:kern w:val="1"/>
          <w:lang w:val="uk-UA"/>
        </w:rPr>
        <w:t>Систематизовано роботу з проведення екскурсій містом українською, російською, польською та англійською мовами.</w:t>
      </w:r>
    </w:p>
    <w:p w:rsidR="008F52DA" w:rsidRPr="007D4E50" w:rsidRDefault="008F52DA" w:rsidP="00066969">
      <w:pPr>
        <w:widowControl w:val="0"/>
        <w:spacing w:line="276" w:lineRule="auto"/>
        <w:ind w:firstLine="851"/>
        <w:jc w:val="both"/>
        <w:rPr>
          <w:kern w:val="1"/>
          <w:lang w:val="uk-UA"/>
        </w:rPr>
      </w:pPr>
      <w:r w:rsidRPr="007D4E50">
        <w:rPr>
          <w:kern w:val="1"/>
          <w:lang w:val="uk-UA"/>
        </w:rPr>
        <w:t>У рамках програми «Вихідні у Тернополі» за період від 15.04.2018 р. по 31.10.2018 р. було проведено 21 екскурсію. Загалом ці екскурсії відвідали 356 осіб.</w:t>
      </w:r>
    </w:p>
    <w:p w:rsidR="008F52DA" w:rsidRPr="007D4E50" w:rsidRDefault="008F52DA" w:rsidP="00066969">
      <w:pPr>
        <w:widowControl w:val="0"/>
        <w:spacing w:line="276" w:lineRule="auto"/>
        <w:ind w:firstLine="851"/>
        <w:jc w:val="both"/>
        <w:rPr>
          <w:kern w:val="1"/>
          <w:lang w:val="uk-UA"/>
        </w:rPr>
      </w:pPr>
      <w:r w:rsidRPr="007D4E50">
        <w:rPr>
          <w:kern w:val="1"/>
          <w:lang w:val="uk-UA"/>
        </w:rPr>
        <w:t xml:space="preserve">Окрім того проведені 36 екскурсій в Архикатедральному Соборі УГКЦ для мешканців та гостей міста (540 осіб). </w:t>
      </w:r>
    </w:p>
    <w:p w:rsidR="008F52DA" w:rsidRPr="007D4E50" w:rsidRDefault="008F52DA" w:rsidP="00066969">
      <w:pPr>
        <w:widowControl w:val="0"/>
        <w:spacing w:line="276" w:lineRule="auto"/>
        <w:ind w:firstLine="851"/>
        <w:jc w:val="both"/>
        <w:rPr>
          <w:kern w:val="1"/>
          <w:lang w:val="uk-UA"/>
        </w:rPr>
      </w:pPr>
      <w:r w:rsidRPr="007D4E50">
        <w:rPr>
          <w:kern w:val="1"/>
          <w:lang w:val="uk-UA"/>
        </w:rPr>
        <w:t>Оглядові екскурсії містом відвідали туристи (2409 осіб) з 14 міст України та 15 країн світу.</w:t>
      </w:r>
    </w:p>
    <w:p w:rsidR="008F52DA" w:rsidRPr="007D4E50" w:rsidRDefault="008F52DA" w:rsidP="00066969">
      <w:pPr>
        <w:widowControl w:val="0"/>
        <w:spacing w:line="276" w:lineRule="auto"/>
        <w:ind w:firstLine="851"/>
        <w:jc w:val="both"/>
        <w:rPr>
          <w:kern w:val="24"/>
          <w:lang w:val="uk-UA"/>
        </w:rPr>
      </w:pPr>
      <w:r w:rsidRPr="007D4E50">
        <w:rPr>
          <w:kern w:val="24"/>
          <w:lang w:val="uk-UA"/>
        </w:rPr>
        <w:t xml:space="preserve">Приділено значну увагу зростанню впізнаваності міста та відновленню історичної спадщини міста. Протягом останнього часу встановлено на історичних та визначних спорудах міста 7 анотаційнихдощок з QR-кодами на українській та англійській мовах, а також із шрифтом Брайля, які розповідають та показують, як виглядав Тернопіль у минулому. Встановлено біля Катедрального собору макет довоєнного Тернополя, а також макет парафіяльного костелу біля Універмагу. </w:t>
      </w:r>
    </w:p>
    <w:p w:rsidR="008F52DA" w:rsidRPr="007D4E50" w:rsidRDefault="008F52DA" w:rsidP="00066969">
      <w:pPr>
        <w:widowControl w:val="0"/>
        <w:spacing w:line="276" w:lineRule="auto"/>
        <w:ind w:firstLine="851"/>
        <w:jc w:val="both"/>
        <w:rPr>
          <w:lang w:val="uk-UA"/>
        </w:rPr>
      </w:pPr>
      <w:r w:rsidRPr="007D4E50">
        <w:rPr>
          <w:lang w:val="uk-UA"/>
        </w:rPr>
        <w:t xml:space="preserve">Також випущено безкоштовну туристичну мапу «98 причин відвідати Тернопіль» та брошури «Як відвідати Тернопіль?», «Тернопіль – центр Західної України», фотоальбом «Тернопіль», буклети «Вихідні у Тернополі» та «Календар подій 2018». З метою забезпечення учасників міжнародних заходів, офіційних та робочих зустрічей та візитів сувенірною продукцією розроблено та виготовлено презентаційні матеріали про місто та сувенірно-промоційну продукцію. </w:t>
      </w:r>
    </w:p>
    <w:p w:rsidR="008F52DA" w:rsidRPr="007D4E50" w:rsidRDefault="008F52DA" w:rsidP="00066969">
      <w:pPr>
        <w:widowControl w:val="0"/>
        <w:spacing w:line="276" w:lineRule="auto"/>
        <w:ind w:firstLine="851"/>
        <w:jc w:val="both"/>
        <w:rPr>
          <w:lang w:val="uk-UA"/>
        </w:rPr>
      </w:pPr>
      <w:r w:rsidRPr="007D4E50">
        <w:rPr>
          <w:lang w:val="uk-UA"/>
        </w:rPr>
        <w:t>Протягом 2018 року спільно з КП «Туристично-інформаційний центр міста Тернополя» організовано понад 20 фестивалів, ярмарок, форумів. Серед них Тернопільський Туристичний форум, Міжнародний інвестиційний форум «Тернопільщина Invest2018», Дні Європи в Україні, День міста, Чемпіонат світу з водно-моторних видів спорту, Великодня ярмарка, фестивалі крафтового пива, Хмільний кухоль, гончарного мистецтва, Файне місто, Галицька дефіляда та інші.</w:t>
      </w:r>
    </w:p>
    <w:p w:rsidR="008F52DA" w:rsidRPr="007D4E50" w:rsidRDefault="008F52DA" w:rsidP="00066969">
      <w:pPr>
        <w:widowControl w:val="0"/>
        <w:spacing w:line="276" w:lineRule="auto"/>
        <w:ind w:firstLine="851"/>
        <w:jc w:val="both"/>
        <w:rPr>
          <w:lang w:val="uk-UA"/>
        </w:rPr>
      </w:pPr>
      <w:r w:rsidRPr="007D4E50">
        <w:rPr>
          <w:lang w:val="uk-UA"/>
        </w:rPr>
        <w:t>Протягом 2018 року місто презентовано на понад 20 міжнародних та національних туристичних форумах, серед яких: Х туристичний форум у Харкові, туристичний форум в Умані, UkraineUrbanTalks Львів &amp; Тернопіль, 25-ий ювілейна Міжнародна виставка UITM’2018 в Києві, XIX Міжнародна виставка LVIV TOUREXPO 2018, Львівський Міжнародний Форум індустрії туризму та гостинності</w:t>
      </w:r>
    </w:p>
    <w:p w:rsidR="008F52DA" w:rsidRPr="007D4E50" w:rsidRDefault="008F52DA" w:rsidP="00066969">
      <w:pPr>
        <w:widowControl w:val="0"/>
        <w:spacing w:line="276" w:lineRule="auto"/>
        <w:ind w:firstLine="851"/>
        <w:jc w:val="both"/>
        <w:rPr>
          <w:lang w:val="uk-UA"/>
        </w:rPr>
      </w:pPr>
      <w:r w:rsidRPr="007D4E50">
        <w:rPr>
          <w:lang w:val="uk-UA"/>
        </w:rPr>
        <w:t>На 2018 рік з міського бюджету на Програму розвитку міжнародного співробітництва і туризму міста Тернополя  було виділено 1 млн. грн.. Станом на 01.11. 2018 року використано 922,2 тис. грн.. Структуру витрат по Програмі наведемо на рис. 3.</w:t>
      </w:r>
    </w:p>
    <w:p w:rsidR="008F52DA" w:rsidRPr="007D4E50" w:rsidRDefault="008F52DA" w:rsidP="00066969">
      <w:pPr>
        <w:widowControl w:val="0"/>
        <w:spacing w:line="276" w:lineRule="auto"/>
        <w:contextualSpacing/>
        <w:jc w:val="both"/>
        <w:rPr>
          <w:lang w:val="uk-UA"/>
        </w:rPr>
      </w:pPr>
      <w:r w:rsidRPr="007D4E50">
        <w:rPr>
          <w:noProof/>
          <w:lang w:val="uk-UA" w:eastAsia="uk-UA"/>
        </w:rPr>
        <w:drawing>
          <wp:inline distT="0" distB="0" distL="0" distR="0">
            <wp:extent cx="5981700" cy="3050275"/>
            <wp:effectExtent l="0" t="0" r="0" b="1714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F52DA" w:rsidRPr="007D4E50" w:rsidRDefault="008F52DA" w:rsidP="00066969">
      <w:pPr>
        <w:widowControl w:val="0"/>
        <w:spacing w:line="276" w:lineRule="auto"/>
        <w:ind w:firstLine="851"/>
        <w:contextualSpacing/>
        <w:jc w:val="center"/>
        <w:rPr>
          <w:b/>
          <w:lang w:val="uk-UA"/>
        </w:rPr>
      </w:pPr>
      <w:r w:rsidRPr="007D4E50">
        <w:rPr>
          <w:b/>
          <w:lang w:val="uk-UA"/>
        </w:rPr>
        <w:t xml:space="preserve">Рис. 3. Структура витрат по Програмі Міжнародного співробітництва і туризму </w:t>
      </w:r>
    </w:p>
    <w:p w:rsidR="008F52DA" w:rsidRPr="007D4E50" w:rsidRDefault="008F52DA" w:rsidP="00066969">
      <w:pPr>
        <w:widowControl w:val="0"/>
        <w:spacing w:line="276" w:lineRule="auto"/>
        <w:ind w:firstLine="851"/>
        <w:contextualSpacing/>
        <w:jc w:val="center"/>
        <w:rPr>
          <w:b/>
          <w:lang w:val="uk-UA"/>
        </w:rPr>
      </w:pPr>
      <w:r w:rsidRPr="007D4E50">
        <w:rPr>
          <w:b/>
          <w:lang w:val="uk-UA"/>
        </w:rPr>
        <w:t>за 10 міс. 2018 р. (у тис. грн.)</w:t>
      </w:r>
    </w:p>
    <w:p w:rsidR="008F52DA" w:rsidRPr="007D4E50" w:rsidRDefault="008F52DA" w:rsidP="00066969">
      <w:pPr>
        <w:widowControl w:val="0"/>
        <w:spacing w:line="276" w:lineRule="auto"/>
        <w:ind w:firstLine="851"/>
        <w:jc w:val="both"/>
        <w:rPr>
          <w:kern w:val="24"/>
          <w:lang w:val="uk-UA"/>
        </w:rPr>
      </w:pPr>
      <w:r w:rsidRPr="007D4E50">
        <w:rPr>
          <w:kern w:val="24"/>
          <w:lang w:val="uk-UA"/>
        </w:rPr>
        <w:t>У наступних таблицях подано інформацію про використання коштів по Програмі згідно додатку 4 до Методичних рекомендацій щодо порядку розроблення міських цільових програм, моніторингу та звітності про їх виконання.</w:t>
      </w:r>
    </w:p>
    <w:p w:rsidR="008F52DA" w:rsidRPr="007D4E50" w:rsidRDefault="008F52DA" w:rsidP="00066969">
      <w:pPr>
        <w:widowControl w:val="0"/>
        <w:spacing w:line="276" w:lineRule="auto"/>
        <w:ind w:firstLine="851"/>
        <w:contextualSpacing/>
        <w:jc w:val="center"/>
        <w:rPr>
          <w:b/>
          <w:lang w:val="uk-UA"/>
        </w:rPr>
      </w:pPr>
      <w:r w:rsidRPr="007D4E50">
        <w:rPr>
          <w:b/>
          <w:lang w:val="uk-UA"/>
        </w:rPr>
        <w:t>Інформація про виконання програми за  2016-2018 роки</w:t>
      </w:r>
    </w:p>
    <w:p w:rsidR="008F52DA" w:rsidRPr="007D4E50" w:rsidRDefault="008F52DA" w:rsidP="00066969">
      <w:pPr>
        <w:spacing w:line="276" w:lineRule="auto"/>
        <w:ind w:firstLine="851"/>
        <w:jc w:val="both"/>
        <w:rPr>
          <w:lang w:val="uk-UA"/>
        </w:rPr>
      </w:pPr>
      <w:r w:rsidRPr="007D4E50">
        <w:rPr>
          <w:lang w:val="uk-UA"/>
        </w:rPr>
        <w:t>1.</w:t>
      </w:r>
      <w:r w:rsidRPr="007D4E50">
        <w:rPr>
          <w:lang w:val="uk-UA"/>
        </w:rPr>
        <w:tab/>
        <w:t>КВКВ 3517691 Управління стратегічного розвитку міста</w:t>
      </w:r>
    </w:p>
    <w:p w:rsidR="008F52DA" w:rsidRPr="007D4E50" w:rsidRDefault="008F52DA" w:rsidP="00066969">
      <w:pPr>
        <w:spacing w:line="276" w:lineRule="auto"/>
        <w:ind w:firstLine="851"/>
        <w:jc w:val="both"/>
        <w:rPr>
          <w:lang w:val="uk-UA"/>
        </w:rPr>
      </w:pPr>
      <w:r w:rsidRPr="007D4E50">
        <w:rPr>
          <w:lang w:val="uk-UA"/>
        </w:rPr>
        <w:t>2.</w:t>
      </w:r>
      <w:r w:rsidRPr="007D4E50">
        <w:rPr>
          <w:lang w:val="uk-UA"/>
        </w:rPr>
        <w:tab/>
        <w:t>КФКВ 3517691 Програма розвитку міжнародного співробітництва і туризму міста Тернополя на 2016-2018 роки (рішення міської ради від 24.11.15 р. №7/2/4)</w:t>
      </w:r>
    </w:p>
    <w:p w:rsidR="008F52DA" w:rsidRPr="007D4E50" w:rsidRDefault="008F52DA" w:rsidP="00066969">
      <w:pPr>
        <w:spacing w:line="276" w:lineRule="auto"/>
        <w:ind w:firstLine="851"/>
        <w:rPr>
          <w:lang w:val="uk-UA"/>
        </w:rPr>
      </w:pPr>
      <w:r w:rsidRPr="007D4E50">
        <w:rPr>
          <w:lang w:val="uk-UA"/>
        </w:rPr>
        <w:tab/>
      </w:r>
      <w:r w:rsidRPr="007D4E50">
        <w:rPr>
          <w:lang w:val="uk-UA"/>
        </w:rPr>
        <w:tab/>
      </w:r>
    </w:p>
    <w:p w:rsidR="008F52DA" w:rsidRPr="007D4E50" w:rsidRDefault="008F52DA" w:rsidP="00066969">
      <w:pPr>
        <w:spacing w:line="276" w:lineRule="auto"/>
        <w:jc w:val="center"/>
        <w:rPr>
          <w:lang w:val="uk-UA"/>
        </w:rPr>
      </w:pPr>
      <w:r w:rsidRPr="007D4E50">
        <w:rPr>
          <w:lang w:val="uk-UA"/>
        </w:rPr>
        <w:t>3. Напрями діяльності та заходи міської цільової програми розвитку міжнародного співробітництва і туризму міста Тернополя на 2016-2018 роки</w:t>
      </w:r>
    </w:p>
    <w:p w:rsidR="008F52DA" w:rsidRPr="007D4E50" w:rsidRDefault="008F52DA" w:rsidP="00066969">
      <w:pPr>
        <w:widowControl w:val="0"/>
        <w:spacing w:line="276" w:lineRule="auto"/>
        <w:ind w:firstLine="851"/>
        <w:jc w:val="both"/>
        <w:rPr>
          <w:kern w:val="24"/>
          <w:lang w:val="uk-UA"/>
        </w:rPr>
      </w:pPr>
    </w:p>
    <w:tbl>
      <w:tblPr>
        <w:tblStyle w:val="a7"/>
        <w:tblW w:w="10082" w:type="dxa"/>
        <w:jc w:val="center"/>
        <w:tblLook w:val="04A0"/>
      </w:tblPr>
      <w:tblGrid>
        <w:gridCol w:w="445"/>
        <w:gridCol w:w="1144"/>
        <w:gridCol w:w="1297"/>
        <w:gridCol w:w="699"/>
        <w:gridCol w:w="840"/>
        <w:gridCol w:w="710"/>
        <w:gridCol w:w="710"/>
        <w:gridCol w:w="837"/>
        <w:gridCol w:w="710"/>
        <w:gridCol w:w="2690"/>
      </w:tblGrid>
      <w:tr w:rsidR="008F52DA" w:rsidRPr="007D4E50" w:rsidTr="00066969">
        <w:trPr>
          <w:jc w:val="center"/>
        </w:trPr>
        <w:tc>
          <w:tcPr>
            <w:tcW w:w="445" w:type="dxa"/>
            <w:vMerge w:val="restart"/>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з/п</w:t>
            </w:r>
          </w:p>
        </w:tc>
        <w:tc>
          <w:tcPr>
            <w:tcW w:w="1144" w:type="dxa"/>
            <w:vMerge w:val="restart"/>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Захід</w:t>
            </w:r>
          </w:p>
        </w:tc>
        <w:tc>
          <w:tcPr>
            <w:tcW w:w="1297" w:type="dxa"/>
            <w:vMerge w:val="restart"/>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Відповідальний виконавець та строк виконання заходу</w:t>
            </w:r>
          </w:p>
        </w:tc>
        <w:tc>
          <w:tcPr>
            <w:tcW w:w="2249" w:type="dxa"/>
            <w:gridSpan w:val="3"/>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Планові обсяги фінансування, тис. гривень</w:t>
            </w:r>
          </w:p>
        </w:tc>
        <w:tc>
          <w:tcPr>
            <w:tcW w:w="2257" w:type="dxa"/>
            <w:gridSpan w:val="3"/>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Фактичні обсяги фінансування, тис. гривень</w:t>
            </w:r>
          </w:p>
        </w:tc>
        <w:tc>
          <w:tcPr>
            <w:tcW w:w="2690" w:type="dxa"/>
            <w:vMerge w:val="restart"/>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Стан виконання заходів</w:t>
            </w:r>
          </w:p>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 xml:space="preserve">(результативні показники </w:t>
            </w:r>
          </w:p>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виконання програми)</w:t>
            </w:r>
          </w:p>
        </w:tc>
      </w:tr>
      <w:tr w:rsidR="008F52DA" w:rsidRPr="007D4E50" w:rsidTr="00066969">
        <w:trPr>
          <w:jc w:val="center"/>
        </w:trPr>
        <w:tc>
          <w:tcPr>
            <w:tcW w:w="445" w:type="dxa"/>
            <w:vMerge/>
            <w:vAlign w:val="center"/>
          </w:tcPr>
          <w:p w:rsidR="008F52DA" w:rsidRPr="007D4E50" w:rsidRDefault="008F52DA" w:rsidP="00066969">
            <w:pPr>
              <w:widowControl w:val="0"/>
              <w:spacing w:line="276" w:lineRule="auto"/>
              <w:jc w:val="center"/>
              <w:rPr>
                <w:kern w:val="24"/>
                <w:sz w:val="16"/>
                <w:szCs w:val="16"/>
                <w:lang w:val="uk-UA"/>
              </w:rPr>
            </w:pPr>
          </w:p>
        </w:tc>
        <w:tc>
          <w:tcPr>
            <w:tcW w:w="1144" w:type="dxa"/>
            <w:vMerge/>
            <w:vAlign w:val="center"/>
          </w:tcPr>
          <w:p w:rsidR="008F52DA" w:rsidRPr="007D4E50" w:rsidRDefault="008F52DA" w:rsidP="00066969">
            <w:pPr>
              <w:widowControl w:val="0"/>
              <w:spacing w:line="276" w:lineRule="auto"/>
              <w:jc w:val="center"/>
              <w:rPr>
                <w:kern w:val="24"/>
                <w:sz w:val="16"/>
                <w:szCs w:val="16"/>
                <w:lang w:val="uk-UA"/>
              </w:rPr>
            </w:pPr>
          </w:p>
        </w:tc>
        <w:tc>
          <w:tcPr>
            <w:tcW w:w="1297" w:type="dxa"/>
            <w:vMerge/>
            <w:vAlign w:val="center"/>
          </w:tcPr>
          <w:p w:rsidR="008F52DA" w:rsidRPr="007D4E50" w:rsidRDefault="008F52DA" w:rsidP="00066969">
            <w:pPr>
              <w:widowControl w:val="0"/>
              <w:spacing w:line="276" w:lineRule="auto"/>
              <w:jc w:val="center"/>
              <w:rPr>
                <w:kern w:val="24"/>
                <w:sz w:val="16"/>
                <w:szCs w:val="16"/>
                <w:lang w:val="uk-UA"/>
              </w:rPr>
            </w:pPr>
          </w:p>
        </w:tc>
        <w:tc>
          <w:tcPr>
            <w:tcW w:w="699" w:type="dxa"/>
            <w:vMerge w:val="restart"/>
            <w:vAlign w:val="center"/>
          </w:tcPr>
          <w:p w:rsidR="008F52DA" w:rsidRPr="007D4E50" w:rsidRDefault="008F52DA" w:rsidP="00066969">
            <w:pPr>
              <w:widowControl w:val="0"/>
              <w:spacing w:line="276" w:lineRule="auto"/>
              <w:jc w:val="center"/>
              <w:rPr>
                <w:kern w:val="24"/>
                <w:sz w:val="16"/>
                <w:szCs w:val="16"/>
                <w:lang w:val="uk-UA"/>
              </w:rPr>
            </w:pPr>
            <w:r w:rsidRPr="007D4E50">
              <w:rPr>
                <w:sz w:val="16"/>
                <w:szCs w:val="16"/>
                <w:lang w:val="uk-UA"/>
              </w:rPr>
              <w:t>Усього</w:t>
            </w:r>
          </w:p>
        </w:tc>
        <w:tc>
          <w:tcPr>
            <w:tcW w:w="1550" w:type="dxa"/>
            <w:gridSpan w:val="2"/>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у тому числі</w:t>
            </w:r>
          </w:p>
        </w:tc>
        <w:tc>
          <w:tcPr>
            <w:tcW w:w="710" w:type="dxa"/>
            <w:vMerge w:val="restart"/>
            <w:vAlign w:val="center"/>
          </w:tcPr>
          <w:p w:rsidR="008F52DA" w:rsidRPr="007D4E50" w:rsidRDefault="008F52DA" w:rsidP="00066969">
            <w:pPr>
              <w:widowControl w:val="0"/>
              <w:spacing w:line="276" w:lineRule="auto"/>
              <w:jc w:val="center"/>
              <w:rPr>
                <w:kern w:val="24"/>
                <w:sz w:val="16"/>
                <w:szCs w:val="16"/>
                <w:lang w:val="uk-UA"/>
              </w:rPr>
            </w:pPr>
            <w:r w:rsidRPr="007D4E50">
              <w:rPr>
                <w:sz w:val="16"/>
                <w:szCs w:val="16"/>
                <w:lang w:val="uk-UA"/>
              </w:rPr>
              <w:t>Усього</w:t>
            </w:r>
          </w:p>
        </w:tc>
        <w:tc>
          <w:tcPr>
            <w:tcW w:w="1547" w:type="dxa"/>
            <w:gridSpan w:val="2"/>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у тому числі</w:t>
            </w:r>
          </w:p>
        </w:tc>
        <w:tc>
          <w:tcPr>
            <w:tcW w:w="2690" w:type="dxa"/>
            <w:vMerge/>
            <w:vAlign w:val="center"/>
          </w:tcPr>
          <w:p w:rsidR="008F52DA" w:rsidRPr="007D4E50" w:rsidRDefault="008F52DA" w:rsidP="00066969">
            <w:pPr>
              <w:widowControl w:val="0"/>
              <w:spacing w:line="276" w:lineRule="auto"/>
              <w:jc w:val="center"/>
              <w:rPr>
                <w:kern w:val="24"/>
                <w:sz w:val="16"/>
                <w:szCs w:val="16"/>
                <w:lang w:val="uk-UA"/>
              </w:rPr>
            </w:pPr>
          </w:p>
        </w:tc>
      </w:tr>
      <w:tr w:rsidR="008F52DA" w:rsidRPr="007D4E50" w:rsidTr="00066969">
        <w:trPr>
          <w:jc w:val="center"/>
        </w:trPr>
        <w:tc>
          <w:tcPr>
            <w:tcW w:w="445" w:type="dxa"/>
            <w:vMerge/>
            <w:vAlign w:val="center"/>
          </w:tcPr>
          <w:p w:rsidR="008F52DA" w:rsidRPr="007D4E50" w:rsidRDefault="008F52DA" w:rsidP="00066969">
            <w:pPr>
              <w:widowControl w:val="0"/>
              <w:spacing w:line="276" w:lineRule="auto"/>
              <w:jc w:val="center"/>
              <w:rPr>
                <w:kern w:val="24"/>
                <w:sz w:val="16"/>
                <w:szCs w:val="16"/>
                <w:lang w:val="uk-UA"/>
              </w:rPr>
            </w:pPr>
          </w:p>
        </w:tc>
        <w:tc>
          <w:tcPr>
            <w:tcW w:w="1144" w:type="dxa"/>
            <w:vMerge/>
            <w:vAlign w:val="center"/>
          </w:tcPr>
          <w:p w:rsidR="008F52DA" w:rsidRPr="007D4E50" w:rsidRDefault="008F52DA" w:rsidP="00066969">
            <w:pPr>
              <w:widowControl w:val="0"/>
              <w:spacing w:line="276" w:lineRule="auto"/>
              <w:jc w:val="center"/>
              <w:rPr>
                <w:kern w:val="24"/>
                <w:sz w:val="16"/>
                <w:szCs w:val="16"/>
                <w:lang w:val="uk-UA"/>
              </w:rPr>
            </w:pPr>
          </w:p>
        </w:tc>
        <w:tc>
          <w:tcPr>
            <w:tcW w:w="1297" w:type="dxa"/>
            <w:vMerge/>
            <w:vAlign w:val="center"/>
          </w:tcPr>
          <w:p w:rsidR="008F52DA" w:rsidRPr="007D4E50" w:rsidRDefault="008F52DA" w:rsidP="00066969">
            <w:pPr>
              <w:widowControl w:val="0"/>
              <w:spacing w:line="276" w:lineRule="auto"/>
              <w:jc w:val="center"/>
              <w:rPr>
                <w:kern w:val="24"/>
                <w:sz w:val="16"/>
                <w:szCs w:val="16"/>
                <w:lang w:val="uk-UA"/>
              </w:rPr>
            </w:pPr>
          </w:p>
        </w:tc>
        <w:tc>
          <w:tcPr>
            <w:tcW w:w="699" w:type="dxa"/>
            <w:vMerge/>
            <w:vAlign w:val="center"/>
          </w:tcPr>
          <w:p w:rsidR="008F52DA" w:rsidRPr="007D4E50" w:rsidRDefault="008F52DA" w:rsidP="00066969">
            <w:pPr>
              <w:widowControl w:val="0"/>
              <w:spacing w:line="276" w:lineRule="auto"/>
              <w:jc w:val="center"/>
              <w:rPr>
                <w:kern w:val="24"/>
                <w:sz w:val="16"/>
                <w:szCs w:val="16"/>
                <w:lang w:val="uk-UA"/>
              </w:rPr>
            </w:pPr>
          </w:p>
        </w:tc>
        <w:tc>
          <w:tcPr>
            <w:tcW w:w="84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місцевий бюджет</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кошти з інших  джерел</w:t>
            </w:r>
          </w:p>
        </w:tc>
        <w:tc>
          <w:tcPr>
            <w:tcW w:w="710" w:type="dxa"/>
            <w:vMerge/>
            <w:vAlign w:val="center"/>
          </w:tcPr>
          <w:p w:rsidR="008F52DA" w:rsidRPr="007D4E50" w:rsidRDefault="008F52DA" w:rsidP="00066969">
            <w:pPr>
              <w:widowControl w:val="0"/>
              <w:spacing w:line="276" w:lineRule="auto"/>
              <w:jc w:val="center"/>
              <w:rPr>
                <w:kern w:val="24"/>
                <w:sz w:val="16"/>
                <w:szCs w:val="16"/>
                <w:lang w:val="uk-UA"/>
              </w:rPr>
            </w:pPr>
          </w:p>
        </w:tc>
        <w:tc>
          <w:tcPr>
            <w:tcW w:w="837"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місцевий бюджет</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кошти з інших  джерел</w:t>
            </w:r>
          </w:p>
        </w:tc>
        <w:tc>
          <w:tcPr>
            <w:tcW w:w="2690" w:type="dxa"/>
            <w:vMerge/>
            <w:vAlign w:val="center"/>
          </w:tcPr>
          <w:p w:rsidR="008F52DA" w:rsidRPr="007D4E50" w:rsidRDefault="008F52DA" w:rsidP="00066969">
            <w:pPr>
              <w:widowControl w:val="0"/>
              <w:spacing w:line="276" w:lineRule="auto"/>
              <w:jc w:val="center"/>
              <w:rPr>
                <w:kern w:val="24"/>
                <w:sz w:val="16"/>
                <w:szCs w:val="16"/>
                <w:lang w:val="uk-UA"/>
              </w:rPr>
            </w:pPr>
          </w:p>
        </w:tc>
      </w:tr>
      <w:tr w:rsidR="008F52DA" w:rsidRPr="007D4E50" w:rsidTr="00066969">
        <w:trPr>
          <w:jc w:val="center"/>
        </w:trPr>
        <w:tc>
          <w:tcPr>
            <w:tcW w:w="445"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1</w:t>
            </w:r>
          </w:p>
        </w:tc>
        <w:tc>
          <w:tcPr>
            <w:tcW w:w="1144"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Проживання іноземних делегацій</w:t>
            </w:r>
          </w:p>
        </w:tc>
        <w:tc>
          <w:tcPr>
            <w:tcW w:w="1297" w:type="dxa"/>
            <w:vAlign w:val="center"/>
          </w:tcPr>
          <w:p w:rsidR="008F52DA" w:rsidRPr="007D4E50" w:rsidRDefault="008F52DA" w:rsidP="00066969">
            <w:pPr>
              <w:widowControl w:val="0"/>
              <w:spacing w:line="276" w:lineRule="auto"/>
              <w:jc w:val="center"/>
              <w:rPr>
                <w:kern w:val="24"/>
                <w:sz w:val="16"/>
                <w:szCs w:val="16"/>
                <w:lang w:val="uk-UA"/>
              </w:rPr>
            </w:pPr>
            <w:r w:rsidRPr="007D4E50">
              <w:rPr>
                <w:snapToGrid w:val="0"/>
                <w:sz w:val="16"/>
                <w:szCs w:val="16"/>
                <w:lang w:val="uk-UA"/>
              </w:rPr>
              <w:t>УСРМ 2018 рік</w:t>
            </w:r>
          </w:p>
        </w:tc>
        <w:tc>
          <w:tcPr>
            <w:tcW w:w="699" w:type="dxa"/>
            <w:vAlign w:val="center"/>
          </w:tcPr>
          <w:p w:rsidR="008F52DA" w:rsidRPr="007D4E50" w:rsidRDefault="008F52DA" w:rsidP="00066969">
            <w:pPr>
              <w:widowControl w:val="0"/>
              <w:spacing w:line="276" w:lineRule="auto"/>
              <w:jc w:val="center"/>
              <w:rPr>
                <w:kern w:val="24"/>
                <w:sz w:val="16"/>
                <w:szCs w:val="16"/>
                <w:lang w:val="uk-UA"/>
              </w:rPr>
            </w:pPr>
            <w:r w:rsidRPr="007D4E50">
              <w:rPr>
                <w:bCs/>
                <w:sz w:val="16"/>
                <w:szCs w:val="16"/>
                <w:lang w:val="uk-UA"/>
              </w:rPr>
              <w:t>536,3</w:t>
            </w:r>
          </w:p>
        </w:tc>
        <w:tc>
          <w:tcPr>
            <w:tcW w:w="84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536,3</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bCs/>
                <w:sz w:val="16"/>
                <w:szCs w:val="16"/>
                <w:lang w:val="uk-UA"/>
              </w:rPr>
              <w:t>416,0</w:t>
            </w:r>
          </w:p>
        </w:tc>
        <w:tc>
          <w:tcPr>
            <w:tcW w:w="837" w:type="dxa"/>
            <w:vAlign w:val="center"/>
          </w:tcPr>
          <w:p w:rsidR="008F52DA" w:rsidRPr="007D4E50" w:rsidRDefault="008F52DA" w:rsidP="00066969">
            <w:pPr>
              <w:widowControl w:val="0"/>
              <w:spacing w:line="276" w:lineRule="auto"/>
              <w:jc w:val="center"/>
              <w:rPr>
                <w:kern w:val="24"/>
                <w:sz w:val="16"/>
                <w:szCs w:val="16"/>
                <w:lang w:val="uk-UA"/>
              </w:rPr>
            </w:pPr>
            <w:r w:rsidRPr="007D4E50">
              <w:rPr>
                <w:bCs/>
                <w:sz w:val="16"/>
                <w:szCs w:val="16"/>
                <w:lang w:val="uk-UA"/>
              </w:rPr>
              <w:t>416,0</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c>
          <w:tcPr>
            <w:tcW w:w="269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Збільшилася кількість партнерських міст на 3 одиниці, на 20% зросла кількість міжнародних заходів, на 24% зросла кількість іноземних (офіційних) гостей міста, на 34% зросла кількість туристів</w:t>
            </w:r>
          </w:p>
        </w:tc>
      </w:tr>
      <w:tr w:rsidR="008F52DA" w:rsidRPr="007D4E50" w:rsidTr="00066969">
        <w:trPr>
          <w:jc w:val="center"/>
        </w:trPr>
        <w:tc>
          <w:tcPr>
            <w:tcW w:w="445"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2</w:t>
            </w:r>
          </w:p>
        </w:tc>
        <w:tc>
          <w:tcPr>
            <w:tcW w:w="1144"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Харчування іноземних делегацій</w:t>
            </w:r>
          </w:p>
        </w:tc>
        <w:tc>
          <w:tcPr>
            <w:tcW w:w="1297" w:type="dxa"/>
            <w:vAlign w:val="center"/>
          </w:tcPr>
          <w:p w:rsidR="008F52DA" w:rsidRPr="007D4E50" w:rsidRDefault="008F52DA" w:rsidP="00066969">
            <w:pPr>
              <w:widowControl w:val="0"/>
              <w:spacing w:line="276" w:lineRule="auto"/>
              <w:jc w:val="center"/>
              <w:rPr>
                <w:snapToGrid w:val="0"/>
                <w:sz w:val="16"/>
                <w:szCs w:val="16"/>
                <w:lang w:val="uk-UA"/>
              </w:rPr>
            </w:pPr>
            <w:r w:rsidRPr="007D4E50">
              <w:rPr>
                <w:snapToGrid w:val="0"/>
                <w:sz w:val="16"/>
                <w:szCs w:val="16"/>
                <w:lang w:val="uk-UA"/>
              </w:rPr>
              <w:t>УСРМ 2018 рік</w:t>
            </w:r>
          </w:p>
        </w:tc>
        <w:tc>
          <w:tcPr>
            <w:tcW w:w="699"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428,4</w:t>
            </w:r>
          </w:p>
        </w:tc>
        <w:tc>
          <w:tcPr>
            <w:tcW w:w="84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428,4</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c>
          <w:tcPr>
            <w:tcW w:w="710"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438,4</w:t>
            </w:r>
          </w:p>
        </w:tc>
        <w:tc>
          <w:tcPr>
            <w:tcW w:w="837"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438,4</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c>
          <w:tcPr>
            <w:tcW w:w="269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Збільшилася кількість партнерських міст на 3 одиниці, на 20% зросла кількість міжнародних заходів, на 24% зросла кількість іноземних (офіційних) гостей міста, на 34% зросла кількість туристів</w:t>
            </w:r>
          </w:p>
        </w:tc>
      </w:tr>
      <w:tr w:rsidR="008F52DA" w:rsidRPr="007D4E50" w:rsidTr="00066969">
        <w:trPr>
          <w:jc w:val="center"/>
        </w:trPr>
        <w:tc>
          <w:tcPr>
            <w:tcW w:w="445"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3</w:t>
            </w:r>
          </w:p>
        </w:tc>
        <w:tc>
          <w:tcPr>
            <w:tcW w:w="1144"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Транспортне забезпечення міжнародних делегацій та заходів</w:t>
            </w:r>
          </w:p>
        </w:tc>
        <w:tc>
          <w:tcPr>
            <w:tcW w:w="1297" w:type="dxa"/>
            <w:vAlign w:val="center"/>
          </w:tcPr>
          <w:p w:rsidR="008F52DA" w:rsidRPr="007D4E50" w:rsidRDefault="008F52DA" w:rsidP="00066969">
            <w:pPr>
              <w:widowControl w:val="0"/>
              <w:spacing w:line="276" w:lineRule="auto"/>
              <w:jc w:val="center"/>
              <w:rPr>
                <w:snapToGrid w:val="0"/>
                <w:sz w:val="16"/>
                <w:szCs w:val="16"/>
                <w:lang w:val="uk-UA"/>
              </w:rPr>
            </w:pPr>
            <w:r w:rsidRPr="007D4E50">
              <w:rPr>
                <w:snapToGrid w:val="0"/>
                <w:sz w:val="16"/>
                <w:szCs w:val="16"/>
                <w:lang w:val="uk-UA"/>
              </w:rPr>
              <w:t>УСРМ 2018 рік</w:t>
            </w:r>
          </w:p>
        </w:tc>
        <w:tc>
          <w:tcPr>
            <w:tcW w:w="699"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356,7</w:t>
            </w:r>
          </w:p>
        </w:tc>
        <w:tc>
          <w:tcPr>
            <w:tcW w:w="84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356,7</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c>
          <w:tcPr>
            <w:tcW w:w="710"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247,2</w:t>
            </w:r>
          </w:p>
        </w:tc>
        <w:tc>
          <w:tcPr>
            <w:tcW w:w="837"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247,2</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c>
          <w:tcPr>
            <w:tcW w:w="269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Збільшилася кількість партнерських міст на 3 одиниці, на 20% зросла кількість міжнародних заходів, на 24% зросла кількість іноземних (офіційних) гостей міста, на 34% зросла кількість туристів</w:t>
            </w:r>
          </w:p>
        </w:tc>
      </w:tr>
      <w:tr w:rsidR="008F52DA" w:rsidRPr="007D4E50" w:rsidTr="00066969">
        <w:trPr>
          <w:jc w:val="center"/>
        </w:trPr>
        <w:tc>
          <w:tcPr>
            <w:tcW w:w="445"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4</w:t>
            </w:r>
          </w:p>
        </w:tc>
        <w:tc>
          <w:tcPr>
            <w:tcW w:w="1144"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Закупівля та виготовлення сувенірної продукції</w:t>
            </w:r>
          </w:p>
        </w:tc>
        <w:tc>
          <w:tcPr>
            <w:tcW w:w="1297" w:type="dxa"/>
            <w:vAlign w:val="center"/>
          </w:tcPr>
          <w:p w:rsidR="008F52DA" w:rsidRPr="007D4E50" w:rsidRDefault="008F52DA" w:rsidP="00066969">
            <w:pPr>
              <w:widowControl w:val="0"/>
              <w:spacing w:line="276" w:lineRule="auto"/>
              <w:jc w:val="center"/>
              <w:rPr>
                <w:snapToGrid w:val="0"/>
                <w:sz w:val="16"/>
                <w:szCs w:val="16"/>
                <w:lang w:val="uk-UA"/>
              </w:rPr>
            </w:pPr>
            <w:r w:rsidRPr="007D4E50">
              <w:rPr>
                <w:snapToGrid w:val="0"/>
                <w:sz w:val="16"/>
                <w:szCs w:val="16"/>
                <w:lang w:val="uk-UA"/>
              </w:rPr>
              <w:t>УСРМ 2018 рік</w:t>
            </w:r>
          </w:p>
        </w:tc>
        <w:tc>
          <w:tcPr>
            <w:tcW w:w="699"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414,3</w:t>
            </w:r>
          </w:p>
        </w:tc>
        <w:tc>
          <w:tcPr>
            <w:tcW w:w="84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414,3</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c>
          <w:tcPr>
            <w:tcW w:w="710"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421,5</w:t>
            </w:r>
          </w:p>
        </w:tc>
        <w:tc>
          <w:tcPr>
            <w:tcW w:w="837"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421,5</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c>
          <w:tcPr>
            <w:tcW w:w="269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Збільшилася кількість партнерських міст на 3 одиниці, на 20% зросла кількість міжнародних заходів, на 24% зросла кількість іноземних (офіційних) гостей міста, на 34% зросла кількість туристів</w:t>
            </w:r>
          </w:p>
        </w:tc>
      </w:tr>
      <w:tr w:rsidR="008F52DA" w:rsidRPr="007D4E50" w:rsidTr="00066969">
        <w:trPr>
          <w:jc w:val="center"/>
        </w:trPr>
        <w:tc>
          <w:tcPr>
            <w:tcW w:w="445"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5</w:t>
            </w:r>
          </w:p>
        </w:tc>
        <w:tc>
          <w:tcPr>
            <w:tcW w:w="1144"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Організація виставок, ярмарок  та участь у них</w:t>
            </w:r>
          </w:p>
        </w:tc>
        <w:tc>
          <w:tcPr>
            <w:tcW w:w="1297" w:type="dxa"/>
            <w:vAlign w:val="center"/>
          </w:tcPr>
          <w:p w:rsidR="008F52DA" w:rsidRPr="007D4E50" w:rsidRDefault="008F52DA" w:rsidP="00066969">
            <w:pPr>
              <w:widowControl w:val="0"/>
              <w:spacing w:line="276" w:lineRule="auto"/>
              <w:jc w:val="center"/>
              <w:rPr>
                <w:snapToGrid w:val="0"/>
                <w:sz w:val="16"/>
                <w:szCs w:val="16"/>
                <w:lang w:val="uk-UA"/>
              </w:rPr>
            </w:pPr>
            <w:r w:rsidRPr="007D4E50">
              <w:rPr>
                <w:snapToGrid w:val="0"/>
                <w:sz w:val="16"/>
                <w:szCs w:val="16"/>
                <w:lang w:val="uk-UA"/>
              </w:rPr>
              <w:t>УСРМ 2018 рік</w:t>
            </w:r>
          </w:p>
        </w:tc>
        <w:tc>
          <w:tcPr>
            <w:tcW w:w="699"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203,3</w:t>
            </w:r>
          </w:p>
        </w:tc>
        <w:tc>
          <w:tcPr>
            <w:tcW w:w="84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203,3</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c>
          <w:tcPr>
            <w:tcW w:w="710"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128,5</w:t>
            </w:r>
          </w:p>
        </w:tc>
        <w:tc>
          <w:tcPr>
            <w:tcW w:w="837"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128,5</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c>
          <w:tcPr>
            <w:tcW w:w="269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Збільшилася кількість партнерських міст на 3 одиниці, на 20% зросла кількість міжнародних заходів, на 24% зросла кількість іноземних (офіційних) гостей міста, на 34% зросла кількість туристів</w:t>
            </w:r>
          </w:p>
        </w:tc>
      </w:tr>
      <w:tr w:rsidR="008F52DA" w:rsidRPr="007D4E50" w:rsidTr="00066969">
        <w:trPr>
          <w:jc w:val="center"/>
        </w:trPr>
        <w:tc>
          <w:tcPr>
            <w:tcW w:w="445"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6</w:t>
            </w:r>
          </w:p>
        </w:tc>
        <w:tc>
          <w:tcPr>
            <w:tcW w:w="1144"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Інші витрати на міжнародні та туристичні заходи</w:t>
            </w:r>
          </w:p>
        </w:tc>
        <w:tc>
          <w:tcPr>
            <w:tcW w:w="1297" w:type="dxa"/>
            <w:vAlign w:val="center"/>
          </w:tcPr>
          <w:p w:rsidR="008F52DA" w:rsidRPr="007D4E50" w:rsidRDefault="008F52DA" w:rsidP="00066969">
            <w:pPr>
              <w:widowControl w:val="0"/>
              <w:spacing w:line="276" w:lineRule="auto"/>
              <w:jc w:val="center"/>
              <w:rPr>
                <w:snapToGrid w:val="0"/>
                <w:sz w:val="16"/>
                <w:szCs w:val="16"/>
                <w:lang w:val="uk-UA"/>
              </w:rPr>
            </w:pPr>
            <w:r w:rsidRPr="007D4E50">
              <w:rPr>
                <w:snapToGrid w:val="0"/>
                <w:sz w:val="16"/>
                <w:szCs w:val="16"/>
                <w:lang w:val="uk-UA"/>
              </w:rPr>
              <w:t>УСРМ 2018 рік</w:t>
            </w:r>
          </w:p>
        </w:tc>
        <w:tc>
          <w:tcPr>
            <w:tcW w:w="699"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31,0</w:t>
            </w:r>
          </w:p>
        </w:tc>
        <w:tc>
          <w:tcPr>
            <w:tcW w:w="84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31,0</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c>
          <w:tcPr>
            <w:tcW w:w="710"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226,1</w:t>
            </w:r>
          </w:p>
        </w:tc>
        <w:tc>
          <w:tcPr>
            <w:tcW w:w="837"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226,1</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c>
          <w:tcPr>
            <w:tcW w:w="269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Збільшилася кількість партнерських міст на 3 одиниці, на 20% зросла кількість міжнародних заходів, на 24% зросла кількість іноземних (офіційних) гостей міста, на 34% зросла кількість туристів</w:t>
            </w:r>
          </w:p>
        </w:tc>
      </w:tr>
      <w:tr w:rsidR="008F52DA" w:rsidRPr="007D4E50" w:rsidTr="00066969">
        <w:trPr>
          <w:jc w:val="center"/>
        </w:trPr>
        <w:tc>
          <w:tcPr>
            <w:tcW w:w="445"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7</w:t>
            </w:r>
          </w:p>
        </w:tc>
        <w:tc>
          <w:tcPr>
            <w:tcW w:w="1144"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Друк та розміщення соціальної реклами</w:t>
            </w:r>
          </w:p>
        </w:tc>
        <w:tc>
          <w:tcPr>
            <w:tcW w:w="1297" w:type="dxa"/>
            <w:vAlign w:val="center"/>
          </w:tcPr>
          <w:p w:rsidR="008F52DA" w:rsidRPr="007D4E50" w:rsidRDefault="008F52DA" w:rsidP="00066969">
            <w:pPr>
              <w:widowControl w:val="0"/>
              <w:spacing w:line="276" w:lineRule="auto"/>
              <w:jc w:val="center"/>
              <w:rPr>
                <w:snapToGrid w:val="0"/>
                <w:sz w:val="16"/>
                <w:szCs w:val="16"/>
                <w:lang w:val="uk-UA"/>
              </w:rPr>
            </w:pPr>
            <w:r w:rsidRPr="007D4E50">
              <w:rPr>
                <w:snapToGrid w:val="0"/>
                <w:sz w:val="16"/>
                <w:szCs w:val="16"/>
                <w:lang w:val="uk-UA"/>
              </w:rPr>
              <w:t>УСРМ 2018 рік</w:t>
            </w:r>
          </w:p>
        </w:tc>
        <w:tc>
          <w:tcPr>
            <w:tcW w:w="699"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580,0</w:t>
            </w:r>
          </w:p>
        </w:tc>
        <w:tc>
          <w:tcPr>
            <w:tcW w:w="84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580,0</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c>
          <w:tcPr>
            <w:tcW w:w="710"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579,6</w:t>
            </w:r>
          </w:p>
        </w:tc>
        <w:tc>
          <w:tcPr>
            <w:tcW w:w="837"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579,6</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c>
          <w:tcPr>
            <w:tcW w:w="269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Зростає поінформованість мешканців та гостей міста про події та заходи, на 11% збільшилася кількість прорекламованих соціальних заходів</w:t>
            </w:r>
          </w:p>
        </w:tc>
      </w:tr>
      <w:tr w:rsidR="008F52DA" w:rsidRPr="007D4E50" w:rsidTr="00066969">
        <w:trPr>
          <w:jc w:val="center"/>
        </w:trPr>
        <w:tc>
          <w:tcPr>
            <w:tcW w:w="2886" w:type="dxa"/>
            <w:gridSpan w:val="3"/>
            <w:vAlign w:val="center"/>
          </w:tcPr>
          <w:p w:rsidR="008F52DA" w:rsidRPr="007D4E50" w:rsidRDefault="008F52DA" w:rsidP="00066969">
            <w:pPr>
              <w:widowControl w:val="0"/>
              <w:spacing w:line="276" w:lineRule="auto"/>
              <w:jc w:val="center"/>
              <w:rPr>
                <w:snapToGrid w:val="0"/>
                <w:sz w:val="16"/>
                <w:szCs w:val="16"/>
                <w:lang w:val="uk-UA"/>
              </w:rPr>
            </w:pPr>
            <w:r w:rsidRPr="007D4E50">
              <w:rPr>
                <w:snapToGrid w:val="0"/>
                <w:sz w:val="16"/>
                <w:szCs w:val="16"/>
                <w:lang w:val="uk-UA"/>
              </w:rPr>
              <w:t>ВСЬОГО</w:t>
            </w:r>
          </w:p>
        </w:tc>
        <w:tc>
          <w:tcPr>
            <w:tcW w:w="699"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2 550,0</w:t>
            </w:r>
          </w:p>
        </w:tc>
        <w:tc>
          <w:tcPr>
            <w:tcW w:w="84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2 550,0</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c>
          <w:tcPr>
            <w:tcW w:w="710"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2 457,3</w:t>
            </w:r>
          </w:p>
        </w:tc>
        <w:tc>
          <w:tcPr>
            <w:tcW w:w="837" w:type="dxa"/>
            <w:vAlign w:val="center"/>
          </w:tcPr>
          <w:p w:rsidR="008F52DA" w:rsidRPr="007D4E50" w:rsidRDefault="008F52DA" w:rsidP="00066969">
            <w:pPr>
              <w:widowControl w:val="0"/>
              <w:spacing w:line="276" w:lineRule="auto"/>
              <w:jc w:val="center"/>
              <w:rPr>
                <w:bCs/>
                <w:sz w:val="16"/>
                <w:szCs w:val="16"/>
                <w:lang w:val="uk-UA"/>
              </w:rPr>
            </w:pPr>
            <w:r w:rsidRPr="007D4E50">
              <w:rPr>
                <w:bCs/>
                <w:sz w:val="16"/>
                <w:szCs w:val="16"/>
                <w:lang w:val="uk-UA"/>
              </w:rPr>
              <w:t>2 457,3</w:t>
            </w:r>
          </w:p>
        </w:tc>
        <w:tc>
          <w:tcPr>
            <w:tcW w:w="71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c>
          <w:tcPr>
            <w:tcW w:w="2690" w:type="dxa"/>
            <w:vAlign w:val="center"/>
          </w:tcPr>
          <w:p w:rsidR="008F52DA" w:rsidRPr="007D4E50" w:rsidRDefault="008F52DA" w:rsidP="00066969">
            <w:pPr>
              <w:widowControl w:val="0"/>
              <w:spacing w:line="276" w:lineRule="auto"/>
              <w:jc w:val="center"/>
              <w:rPr>
                <w:kern w:val="24"/>
                <w:sz w:val="16"/>
                <w:szCs w:val="16"/>
                <w:lang w:val="uk-UA"/>
              </w:rPr>
            </w:pPr>
            <w:r w:rsidRPr="007D4E50">
              <w:rPr>
                <w:kern w:val="24"/>
                <w:sz w:val="16"/>
                <w:szCs w:val="16"/>
                <w:lang w:val="uk-UA"/>
              </w:rPr>
              <w:t>-</w:t>
            </w:r>
          </w:p>
        </w:tc>
      </w:tr>
    </w:tbl>
    <w:p w:rsidR="008F52DA" w:rsidRPr="007D4E50" w:rsidRDefault="008F52DA" w:rsidP="00066969">
      <w:pPr>
        <w:pStyle w:val="21"/>
        <w:spacing w:after="0" w:line="276" w:lineRule="auto"/>
        <w:ind w:left="284"/>
        <w:contextualSpacing/>
        <w:jc w:val="both"/>
        <w:rPr>
          <w:snapToGrid w:val="0"/>
        </w:rPr>
      </w:pPr>
    </w:p>
    <w:p w:rsidR="008F52DA" w:rsidRPr="007D4E50" w:rsidRDefault="008F52DA" w:rsidP="00066969">
      <w:pPr>
        <w:pStyle w:val="21"/>
        <w:spacing w:after="0" w:line="276" w:lineRule="auto"/>
        <w:ind w:left="284"/>
        <w:contextualSpacing/>
        <w:jc w:val="both"/>
        <w:rPr>
          <w:snapToGrid w:val="0"/>
        </w:rPr>
      </w:pPr>
      <w:r w:rsidRPr="007D4E50">
        <w:rPr>
          <w:snapToGrid w:val="0"/>
        </w:rPr>
        <w:t xml:space="preserve">4. Аналіз виконання за видатками в цілому за програмою: </w:t>
      </w:r>
    </w:p>
    <w:tbl>
      <w:tblPr>
        <w:tblW w:w="9781" w:type="dxa"/>
        <w:jc w:val="center"/>
        <w:tblLayout w:type="fixed"/>
        <w:tblCellMar>
          <w:left w:w="30" w:type="dxa"/>
          <w:right w:w="30" w:type="dxa"/>
        </w:tblCellMar>
        <w:tblLook w:val="0000"/>
      </w:tblPr>
      <w:tblGrid>
        <w:gridCol w:w="993"/>
        <w:gridCol w:w="992"/>
        <w:gridCol w:w="1268"/>
        <w:gridCol w:w="717"/>
        <w:gridCol w:w="992"/>
        <w:gridCol w:w="1134"/>
        <w:gridCol w:w="992"/>
        <w:gridCol w:w="992"/>
        <w:gridCol w:w="1701"/>
      </w:tblGrid>
      <w:tr w:rsidR="008F52DA" w:rsidRPr="007D4E50" w:rsidTr="00066969">
        <w:trPr>
          <w:cantSplit/>
          <w:trHeight w:val="293"/>
          <w:jc w:val="center"/>
        </w:trPr>
        <w:tc>
          <w:tcPr>
            <w:tcW w:w="3253" w:type="dxa"/>
            <w:gridSpan w:val="3"/>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snapToGrid w:val="0"/>
                <w:sz w:val="16"/>
                <w:szCs w:val="16"/>
                <w:lang w:val="uk-UA"/>
              </w:rPr>
            </w:pPr>
            <w:r w:rsidRPr="007D4E50">
              <w:rPr>
                <w:snapToGrid w:val="0"/>
                <w:sz w:val="16"/>
                <w:szCs w:val="16"/>
                <w:lang w:val="uk-UA"/>
              </w:rPr>
              <w:t>Бюджетні асигнування з урахуванням змін</w:t>
            </w:r>
          </w:p>
        </w:tc>
        <w:tc>
          <w:tcPr>
            <w:tcW w:w="2843" w:type="dxa"/>
            <w:gridSpan w:val="3"/>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snapToGrid w:val="0"/>
                <w:sz w:val="16"/>
                <w:szCs w:val="16"/>
                <w:lang w:val="uk-UA"/>
              </w:rPr>
            </w:pPr>
            <w:r w:rsidRPr="007D4E50">
              <w:rPr>
                <w:rStyle w:val="spelle"/>
                <w:snapToGrid w:val="0"/>
                <w:sz w:val="16"/>
                <w:szCs w:val="16"/>
                <w:lang w:val="uk-UA"/>
              </w:rPr>
              <w:t>Проведенівидатки</w:t>
            </w:r>
          </w:p>
        </w:tc>
        <w:tc>
          <w:tcPr>
            <w:tcW w:w="3685" w:type="dxa"/>
            <w:gridSpan w:val="3"/>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snapToGrid w:val="0"/>
                <w:sz w:val="16"/>
                <w:szCs w:val="16"/>
                <w:lang w:val="uk-UA"/>
              </w:rPr>
            </w:pPr>
            <w:r w:rsidRPr="007D4E50">
              <w:rPr>
                <w:rStyle w:val="spelle"/>
                <w:snapToGrid w:val="0"/>
                <w:sz w:val="16"/>
                <w:szCs w:val="16"/>
                <w:lang w:val="uk-UA"/>
              </w:rPr>
              <w:t>Відхилення</w:t>
            </w:r>
          </w:p>
        </w:tc>
      </w:tr>
      <w:tr w:rsidR="008F52DA" w:rsidRPr="007D4E50" w:rsidTr="00066969">
        <w:trPr>
          <w:cantSplit/>
          <w:trHeight w:val="293"/>
          <w:jc w:val="center"/>
        </w:trPr>
        <w:tc>
          <w:tcPr>
            <w:tcW w:w="993"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snapToGrid w:val="0"/>
                <w:sz w:val="16"/>
                <w:szCs w:val="16"/>
                <w:lang w:val="uk-UA"/>
              </w:rPr>
            </w:pPr>
            <w:r w:rsidRPr="007D4E50">
              <w:rPr>
                <w:rStyle w:val="spelle"/>
                <w:snapToGrid w:val="0"/>
                <w:sz w:val="16"/>
                <w:szCs w:val="16"/>
                <w:lang w:val="uk-UA"/>
              </w:rPr>
              <w:t>усього</w:t>
            </w:r>
          </w:p>
        </w:tc>
        <w:tc>
          <w:tcPr>
            <w:tcW w:w="992"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pStyle w:val="2"/>
              <w:spacing w:line="276" w:lineRule="auto"/>
              <w:jc w:val="center"/>
              <w:rPr>
                <w:rFonts w:ascii="Times New Roman" w:hAnsi="Times New Roman" w:cs="Times New Roman"/>
                <w:b/>
                <w:i/>
                <w:color w:val="auto"/>
                <w:sz w:val="16"/>
                <w:szCs w:val="16"/>
                <w:lang w:val="uk-UA"/>
              </w:rPr>
            </w:pPr>
            <w:r w:rsidRPr="007D4E50">
              <w:rPr>
                <w:rFonts w:ascii="Times New Roman" w:hAnsi="Times New Roman" w:cs="Times New Roman"/>
                <w:color w:val="auto"/>
                <w:sz w:val="16"/>
                <w:szCs w:val="16"/>
                <w:lang w:val="uk-UA"/>
              </w:rPr>
              <w:t>загальний фонд</w:t>
            </w:r>
          </w:p>
        </w:tc>
        <w:tc>
          <w:tcPr>
            <w:tcW w:w="1268"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snapToGrid w:val="0"/>
                <w:sz w:val="16"/>
                <w:szCs w:val="16"/>
                <w:lang w:val="uk-UA"/>
              </w:rPr>
            </w:pPr>
            <w:r w:rsidRPr="007D4E50">
              <w:rPr>
                <w:rStyle w:val="grame"/>
                <w:snapToGrid w:val="0"/>
                <w:sz w:val="16"/>
                <w:szCs w:val="16"/>
                <w:lang w:val="uk-UA"/>
              </w:rPr>
              <w:t>спец</w:t>
            </w:r>
            <w:r w:rsidRPr="007D4E50">
              <w:rPr>
                <w:rStyle w:val="spelle"/>
                <w:snapToGrid w:val="0"/>
                <w:sz w:val="16"/>
                <w:szCs w:val="16"/>
                <w:lang w:val="uk-UA"/>
              </w:rPr>
              <w:t>іальний</w:t>
            </w:r>
            <w:r w:rsidRPr="007D4E50">
              <w:rPr>
                <w:snapToGrid w:val="0"/>
                <w:sz w:val="16"/>
                <w:szCs w:val="16"/>
                <w:lang w:val="uk-UA"/>
              </w:rPr>
              <w:t xml:space="preserve"> фонд</w:t>
            </w:r>
          </w:p>
        </w:tc>
        <w:tc>
          <w:tcPr>
            <w:tcW w:w="717"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snapToGrid w:val="0"/>
                <w:sz w:val="16"/>
                <w:szCs w:val="16"/>
                <w:lang w:val="uk-UA"/>
              </w:rPr>
            </w:pPr>
            <w:r w:rsidRPr="007D4E50">
              <w:rPr>
                <w:rStyle w:val="spelle"/>
                <w:snapToGrid w:val="0"/>
                <w:sz w:val="16"/>
                <w:szCs w:val="16"/>
                <w:lang w:val="uk-UA"/>
              </w:rPr>
              <w:t>усього</w:t>
            </w:r>
          </w:p>
        </w:tc>
        <w:tc>
          <w:tcPr>
            <w:tcW w:w="992"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snapToGrid w:val="0"/>
                <w:sz w:val="16"/>
                <w:szCs w:val="16"/>
                <w:lang w:val="uk-UA"/>
              </w:rPr>
            </w:pPr>
            <w:r w:rsidRPr="007D4E50">
              <w:rPr>
                <w:rStyle w:val="spelle"/>
                <w:snapToGrid w:val="0"/>
                <w:sz w:val="16"/>
                <w:szCs w:val="16"/>
                <w:lang w:val="uk-UA"/>
              </w:rPr>
              <w:t>загальний</w:t>
            </w:r>
            <w:r w:rsidRPr="007D4E50">
              <w:rPr>
                <w:snapToGrid w:val="0"/>
                <w:sz w:val="16"/>
                <w:szCs w:val="16"/>
                <w:lang w:val="uk-UA"/>
              </w:rPr>
              <w:t xml:space="preserve"> фонд</w:t>
            </w:r>
          </w:p>
        </w:tc>
        <w:tc>
          <w:tcPr>
            <w:tcW w:w="1134"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snapToGrid w:val="0"/>
                <w:sz w:val="16"/>
                <w:szCs w:val="16"/>
                <w:lang w:val="uk-UA"/>
              </w:rPr>
            </w:pPr>
            <w:r w:rsidRPr="007D4E50">
              <w:rPr>
                <w:rStyle w:val="grame"/>
                <w:snapToGrid w:val="0"/>
                <w:sz w:val="16"/>
                <w:szCs w:val="16"/>
                <w:lang w:val="uk-UA"/>
              </w:rPr>
              <w:t>спец</w:t>
            </w:r>
            <w:r w:rsidRPr="007D4E50">
              <w:rPr>
                <w:rStyle w:val="spelle"/>
                <w:snapToGrid w:val="0"/>
                <w:sz w:val="16"/>
                <w:szCs w:val="16"/>
                <w:lang w:val="uk-UA"/>
              </w:rPr>
              <w:t>іальний</w:t>
            </w:r>
            <w:r w:rsidRPr="007D4E50">
              <w:rPr>
                <w:snapToGrid w:val="0"/>
                <w:sz w:val="16"/>
                <w:szCs w:val="16"/>
                <w:lang w:val="uk-UA"/>
              </w:rPr>
              <w:t xml:space="preserve"> фонд</w:t>
            </w:r>
          </w:p>
        </w:tc>
        <w:tc>
          <w:tcPr>
            <w:tcW w:w="992"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snapToGrid w:val="0"/>
                <w:sz w:val="16"/>
                <w:szCs w:val="16"/>
                <w:lang w:val="uk-UA"/>
              </w:rPr>
            </w:pPr>
            <w:r w:rsidRPr="007D4E50">
              <w:rPr>
                <w:rStyle w:val="spelle"/>
                <w:snapToGrid w:val="0"/>
                <w:sz w:val="16"/>
                <w:szCs w:val="16"/>
                <w:lang w:val="uk-UA"/>
              </w:rPr>
              <w:t>усього</w:t>
            </w:r>
          </w:p>
        </w:tc>
        <w:tc>
          <w:tcPr>
            <w:tcW w:w="992"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snapToGrid w:val="0"/>
                <w:sz w:val="16"/>
                <w:szCs w:val="16"/>
                <w:lang w:val="uk-UA"/>
              </w:rPr>
            </w:pPr>
            <w:r w:rsidRPr="007D4E50">
              <w:rPr>
                <w:rStyle w:val="spelle"/>
                <w:snapToGrid w:val="0"/>
                <w:sz w:val="16"/>
                <w:szCs w:val="16"/>
                <w:lang w:val="uk-UA"/>
              </w:rPr>
              <w:t>загальний</w:t>
            </w:r>
            <w:r w:rsidRPr="007D4E50">
              <w:rPr>
                <w:snapToGrid w:val="0"/>
                <w:sz w:val="16"/>
                <w:szCs w:val="16"/>
                <w:lang w:val="uk-UA"/>
              </w:rPr>
              <w:t xml:space="preserve"> фонд</w:t>
            </w:r>
          </w:p>
        </w:tc>
        <w:tc>
          <w:tcPr>
            <w:tcW w:w="1701"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snapToGrid w:val="0"/>
                <w:sz w:val="16"/>
                <w:szCs w:val="16"/>
                <w:lang w:val="uk-UA"/>
              </w:rPr>
            </w:pPr>
            <w:r w:rsidRPr="007D4E50">
              <w:rPr>
                <w:rStyle w:val="grame"/>
                <w:snapToGrid w:val="0"/>
                <w:sz w:val="16"/>
                <w:szCs w:val="16"/>
                <w:lang w:val="uk-UA"/>
              </w:rPr>
              <w:t>спец</w:t>
            </w:r>
            <w:r w:rsidRPr="007D4E50">
              <w:rPr>
                <w:rStyle w:val="spelle"/>
                <w:snapToGrid w:val="0"/>
                <w:sz w:val="16"/>
                <w:szCs w:val="16"/>
                <w:lang w:val="uk-UA"/>
              </w:rPr>
              <w:t xml:space="preserve">іальний </w:t>
            </w:r>
            <w:r w:rsidRPr="007D4E50">
              <w:rPr>
                <w:snapToGrid w:val="0"/>
                <w:sz w:val="16"/>
                <w:szCs w:val="16"/>
                <w:lang w:val="uk-UA"/>
              </w:rPr>
              <w:t>фонд</w:t>
            </w:r>
          </w:p>
        </w:tc>
      </w:tr>
      <w:tr w:rsidR="008F52DA" w:rsidRPr="007D4E50" w:rsidTr="00066969">
        <w:trPr>
          <w:cantSplit/>
          <w:trHeight w:val="293"/>
          <w:jc w:val="center"/>
        </w:trPr>
        <w:tc>
          <w:tcPr>
            <w:tcW w:w="993"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rStyle w:val="spelle"/>
                <w:snapToGrid w:val="0"/>
                <w:sz w:val="16"/>
                <w:szCs w:val="16"/>
                <w:lang w:val="uk-UA"/>
              </w:rPr>
            </w:pPr>
            <w:r w:rsidRPr="007D4E50">
              <w:rPr>
                <w:rStyle w:val="spelle"/>
                <w:snapToGrid w:val="0"/>
                <w:sz w:val="16"/>
                <w:szCs w:val="16"/>
                <w:lang w:val="uk-UA"/>
              </w:rPr>
              <w:t>2 550,0</w:t>
            </w:r>
          </w:p>
        </w:tc>
        <w:tc>
          <w:tcPr>
            <w:tcW w:w="992"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pStyle w:val="2"/>
              <w:spacing w:line="276" w:lineRule="auto"/>
              <w:jc w:val="center"/>
              <w:rPr>
                <w:rFonts w:ascii="Times New Roman" w:hAnsi="Times New Roman" w:cs="Times New Roman"/>
                <w:b/>
                <w:i/>
                <w:color w:val="auto"/>
                <w:sz w:val="16"/>
                <w:szCs w:val="16"/>
                <w:lang w:val="uk-UA"/>
              </w:rPr>
            </w:pPr>
            <w:r w:rsidRPr="007D4E50">
              <w:rPr>
                <w:rFonts w:ascii="Times New Roman" w:hAnsi="Times New Roman" w:cs="Times New Roman"/>
                <w:b/>
                <w:i/>
                <w:color w:val="auto"/>
                <w:sz w:val="16"/>
                <w:szCs w:val="16"/>
                <w:lang w:val="uk-UA"/>
              </w:rPr>
              <w:t>-</w:t>
            </w:r>
          </w:p>
        </w:tc>
        <w:tc>
          <w:tcPr>
            <w:tcW w:w="1268"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rStyle w:val="grame"/>
                <w:snapToGrid w:val="0"/>
                <w:sz w:val="16"/>
                <w:szCs w:val="16"/>
                <w:lang w:val="uk-UA"/>
              </w:rPr>
            </w:pPr>
            <w:r w:rsidRPr="007D4E50">
              <w:rPr>
                <w:rStyle w:val="grame"/>
                <w:snapToGrid w:val="0"/>
                <w:sz w:val="16"/>
                <w:szCs w:val="16"/>
                <w:lang w:val="uk-UA"/>
              </w:rPr>
              <w:t>2 550,0</w:t>
            </w:r>
          </w:p>
        </w:tc>
        <w:tc>
          <w:tcPr>
            <w:tcW w:w="717"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rStyle w:val="spelle"/>
                <w:snapToGrid w:val="0"/>
                <w:sz w:val="16"/>
                <w:szCs w:val="16"/>
                <w:lang w:val="uk-UA"/>
              </w:rPr>
            </w:pPr>
            <w:r w:rsidRPr="007D4E50">
              <w:rPr>
                <w:rStyle w:val="spelle"/>
                <w:snapToGrid w:val="0"/>
                <w:sz w:val="16"/>
                <w:szCs w:val="16"/>
                <w:lang w:val="uk-UA"/>
              </w:rPr>
              <w:t>2 457,3</w:t>
            </w:r>
          </w:p>
        </w:tc>
        <w:tc>
          <w:tcPr>
            <w:tcW w:w="992"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rStyle w:val="spelle"/>
                <w:snapToGrid w:val="0"/>
                <w:sz w:val="16"/>
                <w:szCs w:val="16"/>
                <w:lang w:val="uk-UA"/>
              </w:rPr>
            </w:pPr>
            <w:r w:rsidRPr="007D4E50">
              <w:rPr>
                <w:rStyle w:val="spelle"/>
                <w:snapToGrid w:val="0"/>
                <w:sz w:val="16"/>
                <w:szCs w:val="16"/>
                <w:lang w:val="uk-UA"/>
              </w:rPr>
              <w:t>-</w:t>
            </w:r>
          </w:p>
        </w:tc>
        <w:tc>
          <w:tcPr>
            <w:tcW w:w="1134"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rStyle w:val="grame"/>
                <w:snapToGrid w:val="0"/>
                <w:sz w:val="16"/>
                <w:szCs w:val="16"/>
                <w:lang w:val="uk-UA"/>
              </w:rPr>
            </w:pPr>
            <w:r w:rsidRPr="007D4E50">
              <w:rPr>
                <w:rStyle w:val="grame"/>
                <w:snapToGrid w:val="0"/>
                <w:sz w:val="16"/>
                <w:szCs w:val="16"/>
                <w:lang w:val="uk-UA"/>
              </w:rPr>
              <w:t>2 457,3</w:t>
            </w:r>
          </w:p>
        </w:tc>
        <w:tc>
          <w:tcPr>
            <w:tcW w:w="992"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rStyle w:val="spelle"/>
                <w:snapToGrid w:val="0"/>
                <w:sz w:val="16"/>
                <w:szCs w:val="16"/>
                <w:lang w:val="uk-UA"/>
              </w:rPr>
            </w:pPr>
            <w:r w:rsidRPr="007D4E50">
              <w:rPr>
                <w:rStyle w:val="spelle"/>
                <w:snapToGrid w:val="0"/>
                <w:sz w:val="16"/>
                <w:szCs w:val="16"/>
                <w:lang w:val="uk-UA"/>
              </w:rPr>
              <w:t>92,7 (3,6%)</w:t>
            </w:r>
          </w:p>
        </w:tc>
        <w:tc>
          <w:tcPr>
            <w:tcW w:w="992"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rStyle w:val="spelle"/>
                <w:snapToGrid w:val="0"/>
                <w:sz w:val="16"/>
                <w:szCs w:val="16"/>
                <w:lang w:val="uk-UA"/>
              </w:rPr>
            </w:pPr>
            <w:r w:rsidRPr="007D4E50">
              <w:rPr>
                <w:rStyle w:val="spelle"/>
                <w:snapToGrid w:val="0"/>
                <w:sz w:val="16"/>
                <w:szCs w:val="16"/>
                <w:lang w:val="uk-UA"/>
              </w:rPr>
              <w:t>-</w:t>
            </w:r>
          </w:p>
        </w:tc>
        <w:tc>
          <w:tcPr>
            <w:tcW w:w="1701" w:type="dxa"/>
            <w:tcBorders>
              <w:top w:val="single" w:sz="6" w:space="0" w:color="auto"/>
              <w:left w:val="single" w:sz="6" w:space="0" w:color="auto"/>
              <w:bottom w:val="single" w:sz="6" w:space="0" w:color="auto"/>
              <w:right w:val="single" w:sz="6" w:space="0" w:color="auto"/>
            </w:tcBorders>
            <w:vAlign w:val="center"/>
          </w:tcPr>
          <w:p w:rsidR="008F52DA" w:rsidRPr="007D4E50" w:rsidRDefault="008F52DA" w:rsidP="00066969">
            <w:pPr>
              <w:spacing w:before="100" w:beforeAutospacing="1" w:after="100" w:afterAutospacing="1" w:line="276" w:lineRule="auto"/>
              <w:jc w:val="center"/>
              <w:rPr>
                <w:rStyle w:val="grame"/>
                <w:snapToGrid w:val="0"/>
                <w:sz w:val="16"/>
                <w:szCs w:val="16"/>
                <w:lang w:val="uk-UA"/>
              </w:rPr>
            </w:pPr>
            <w:r w:rsidRPr="007D4E50">
              <w:rPr>
                <w:rStyle w:val="spelle"/>
                <w:snapToGrid w:val="0"/>
                <w:sz w:val="16"/>
                <w:szCs w:val="16"/>
                <w:lang w:val="uk-UA"/>
              </w:rPr>
              <w:t>92,7 (3,6 %)</w:t>
            </w:r>
          </w:p>
        </w:tc>
      </w:tr>
    </w:tbl>
    <w:p w:rsidR="008F52DA" w:rsidRPr="007D4E50" w:rsidRDefault="008F52DA" w:rsidP="00066969">
      <w:pPr>
        <w:widowControl w:val="0"/>
        <w:spacing w:line="276" w:lineRule="auto"/>
        <w:ind w:firstLine="851"/>
        <w:jc w:val="both"/>
        <w:rPr>
          <w:kern w:val="24"/>
          <w:lang w:val="uk-UA"/>
        </w:rPr>
      </w:pPr>
    </w:p>
    <w:p w:rsidR="008F52DA" w:rsidRPr="007D4E50" w:rsidRDefault="008F52DA" w:rsidP="00066969">
      <w:pPr>
        <w:widowControl w:val="0"/>
        <w:spacing w:line="276" w:lineRule="auto"/>
        <w:ind w:firstLine="851"/>
        <w:jc w:val="both"/>
        <w:rPr>
          <w:kern w:val="24"/>
          <w:lang w:val="uk-UA"/>
        </w:rPr>
      </w:pPr>
      <w:r w:rsidRPr="007D4E50">
        <w:rPr>
          <w:kern w:val="24"/>
          <w:lang w:val="uk-UA"/>
        </w:rPr>
        <w:t xml:space="preserve">Спільними зусиллями з громадою ведеться активна робота щодо проведення відповідних розкопок і дослідження підземель міста (зокрема, підземелля Тернопільського замку, Катедри, тощо), їх облаштування для проведення екскурсійних турів, що користується чималою популярністю серед мешканців міста і його гостей та становить новий вид атракції міста з вражаючими перспективами подальшого розвитку. </w:t>
      </w:r>
    </w:p>
    <w:p w:rsidR="008F52DA" w:rsidRPr="007D4E50" w:rsidRDefault="008F52DA" w:rsidP="00066969">
      <w:pPr>
        <w:widowControl w:val="0"/>
        <w:spacing w:line="276" w:lineRule="auto"/>
        <w:ind w:firstLine="851"/>
        <w:jc w:val="both"/>
        <w:rPr>
          <w:kern w:val="1"/>
          <w:lang w:val="uk-UA"/>
        </w:rPr>
      </w:pPr>
      <w:r w:rsidRPr="007D4E50">
        <w:rPr>
          <w:noProof/>
          <w:lang w:val="uk-UA" w:eastAsia="uk-UA"/>
        </w:rPr>
        <w:drawing>
          <wp:anchor distT="0" distB="0" distL="114300" distR="114300" simplePos="0" relativeHeight="251661312" behindDoc="0" locked="0" layoutInCell="1" allowOverlap="1">
            <wp:simplePos x="0" y="0"/>
            <wp:positionH relativeFrom="margin">
              <wp:align>left</wp:align>
            </wp:positionH>
            <wp:positionV relativeFrom="paragraph">
              <wp:posOffset>397509</wp:posOffset>
            </wp:positionV>
            <wp:extent cx="6292215" cy="2867025"/>
            <wp:effectExtent l="0" t="0" r="0" b="0"/>
            <wp:wrapNone/>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7D4E50">
        <w:rPr>
          <w:kern w:val="1"/>
          <w:lang w:val="uk-UA"/>
        </w:rPr>
        <w:t>Зростає як кількість туристів в місті, зокрема іноземних (рис. 4 та 5), так і надходження від туристичної діяльності до міського бюджету.</w:t>
      </w:r>
    </w:p>
    <w:p w:rsidR="008F52DA" w:rsidRPr="007D4E50" w:rsidRDefault="008F52DA" w:rsidP="00066969">
      <w:pPr>
        <w:widowControl w:val="0"/>
        <w:spacing w:line="360" w:lineRule="auto"/>
        <w:ind w:firstLine="851"/>
        <w:jc w:val="both"/>
        <w:rPr>
          <w:kern w:val="1"/>
          <w:lang w:val="uk-UA"/>
        </w:rPr>
      </w:pPr>
    </w:p>
    <w:p w:rsidR="008F52DA" w:rsidRPr="007D4E50" w:rsidRDefault="008F52DA" w:rsidP="00066969">
      <w:pPr>
        <w:widowControl w:val="0"/>
        <w:spacing w:line="360" w:lineRule="auto"/>
        <w:ind w:firstLine="851"/>
        <w:jc w:val="both"/>
        <w:rPr>
          <w:kern w:val="1"/>
          <w:lang w:val="uk-UA"/>
        </w:rPr>
      </w:pPr>
    </w:p>
    <w:p w:rsidR="008F52DA" w:rsidRPr="007D4E50" w:rsidRDefault="008F52DA" w:rsidP="00066969">
      <w:pPr>
        <w:widowControl w:val="0"/>
        <w:spacing w:line="360" w:lineRule="auto"/>
        <w:ind w:firstLine="851"/>
        <w:jc w:val="both"/>
        <w:rPr>
          <w:kern w:val="1"/>
          <w:lang w:val="uk-UA"/>
        </w:rPr>
      </w:pPr>
    </w:p>
    <w:p w:rsidR="008F52DA" w:rsidRPr="007D4E50" w:rsidRDefault="008F52DA" w:rsidP="00066969">
      <w:pPr>
        <w:widowControl w:val="0"/>
        <w:spacing w:line="360" w:lineRule="auto"/>
        <w:ind w:firstLine="851"/>
        <w:jc w:val="both"/>
        <w:rPr>
          <w:kern w:val="1"/>
          <w:lang w:val="uk-UA"/>
        </w:rPr>
      </w:pPr>
    </w:p>
    <w:p w:rsidR="008F52DA" w:rsidRPr="007D4E50" w:rsidRDefault="008F52DA" w:rsidP="00066969">
      <w:pPr>
        <w:widowControl w:val="0"/>
        <w:spacing w:line="360" w:lineRule="auto"/>
        <w:ind w:firstLine="851"/>
        <w:jc w:val="both"/>
        <w:rPr>
          <w:kern w:val="1"/>
          <w:lang w:val="uk-UA"/>
        </w:rPr>
      </w:pPr>
    </w:p>
    <w:p w:rsidR="008F52DA" w:rsidRPr="007D4E50" w:rsidRDefault="008F52DA" w:rsidP="00066969">
      <w:pPr>
        <w:widowControl w:val="0"/>
        <w:spacing w:line="360" w:lineRule="auto"/>
        <w:ind w:firstLine="851"/>
        <w:jc w:val="both"/>
        <w:rPr>
          <w:kern w:val="1"/>
          <w:lang w:val="uk-UA"/>
        </w:rPr>
      </w:pPr>
    </w:p>
    <w:p w:rsidR="008F52DA" w:rsidRPr="007D4E50" w:rsidRDefault="008F52DA" w:rsidP="00066969">
      <w:pPr>
        <w:widowControl w:val="0"/>
        <w:spacing w:line="360" w:lineRule="auto"/>
        <w:ind w:firstLine="851"/>
        <w:jc w:val="both"/>
        <w:rPr>
          <w:kern w:val="1"/>
          <w:lang w:val="uk-UA"/>
        </w:rPr>
      </w:pPr>
    </w:p>
    <w:p w:rsidR="008F52DA" w:rsidRPr="007D4E50" w:rsidRDefault="008F52DA" w:rsidP="00066969">
      <w:pPr>
        <w:widowControl w:val="0"/>
        <w:spacing w:line="360" w:lineRule="auto"/>
        <w:ind w:firstLine="851"/>
        <w:jc w:val="both"/>
        <w:rPr>
          <w:kern w:val="1"/>
          <w:lang w:val="uk-UA"/>
        </w:rPr>
      </w:pPr>
    </w:p>
    <w:p w:rsidR="008F52DA" w:rsidRPr="007D4E50" w:rsidRDefault="008F52DA" w:rsidP="00066969">
      <w:pPr>
        <w:widowControl w:val="0"/>
        <w:spacing w:line="360" w:lineRule="auto"/>
        <w:ind w:firstLine="851"/>
        <w:jc w:val="both"/>
        <w:rPr>
          <w:kern w:val="1"/>
          <w:lang w:val="uk-UA"/>
        </w:rPr>
      </w:pPr>
    </w:p>
    <w:p w:rsidR="008F52DA" w:rsidRPr="007D4E50" w:rsidRDefault="008F52DA" w:rsidP="00066969">
      <w:pPr>
        <w:widowControl w:val="0"/>
        <w:spacing w:line="276" w:lineRule="auto"/>
        <w:ind w:firstLine="851"/>
        <w:contextualSpacing/>
        <w:jc w:val="both"/>
        <w:rPr>
          <w:kern w:val="1"/>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r w:rsidRPr="007D4E50">
        <w:rPr>
          <w:b/>
          <w:bCs/>
          <w:lang w:val="uk-UA"/>
        </w:rPr>
        <w:t>Рис. 4. Динаміка туристичного збору (тис. грн.)</w:t>
      </w: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both"/>
        <w:rPr>
          <w:lang w:val="uk-UA"/>
        </w:rPr>
      </w:pPr>
    </w:p>
    <w:p w:rsidR="008F52DA" w:rsidRPr="007D4E50" w:rsidRDefault="008F52DA" w:rsidP="00066969">
      <w:pPr>
        <w:widowControl w:val="0"/>
        <w:spacing w:line="276" w:lineRule="auto"/>
        <w:ind w:firstLine="851"/>
        <w:contextualSpacing/>
        <w:jc w:val="center"/>
        <w:rPr>
          <w:b/>
          <w:bCs/>
          <w:lang w:val="uk-UA"/>
        </w:rPr>
      </w:pPr>
      <w:r w:rsidRPr="007D4E50">
        <w:rPr>
          <w:noProof/>
          <w:lang w:val="uk-UA" w:eastAsia="uk-UA"/>
        </w:rPr>
        <w:drawing>
          <wp:anchor distT="0" distB="0" distL="114300" distR="114300" simplePos="0" relativeHeight="251662336" behindDoc="0" locked="0" layoutInCell="1" allowOverlap="1">
            <wp:simplePos x="0" y="0"/>
            <wp:positionH relativeFrom="margin">
              <wp:align>right</wp:align>
            </wp:positionH>
            <wp:positionV relativeFrom="paragraph">
              <wp:posOffset>10795</wp:posOffset>
            </wp:positionV>
            <wp:extent cx="5943600" cy="3152775"/>
            <wp:effectExtent l="0" t="0" r="0" b="0"/>
            <wp:wrapNone/>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p>
    <w:p w:rsidR="008F52DA" w:rsidRPr="007D4E50" w:rsidRDefault="008F52DA" w:rsidP="00066969">
      <w:pPr>
        <w:widowControl w:val="0"/>
        <w:spacing w:line="276" w:lineRule="auto"/>
        <w:ind w:firstLine="851"/>
        <w:contextualSpacing/>
        <w:jc w:val="center"/>
        <w:rPr>
          <w:b/>
          <w:bCs/>
          <w:lang w:val="uk-UA"/>
        </w:rPr>
      </w:pPr>
      <w:r w:rsidRPr="007D4E50">
        <w:rPr>
          <w:b/>
          <w:bCs/>
          <w:lang w:val="uk-UA"/>
        </w:rPr>
        <w:t>Рис. 5. Динаміка кількості туристів (тис. осіб)</w:t>
      </w:r>
    </w:p>
    <w:p w:rsidR="008F52DA" w:rsidRPr="007D4E50" w:rsidRDefault="008F52DA" w:rsidP="00066969">
      <w:pPr>
        <w:widowControl w:val="0"/>
        <w:spacing w:line="360" w:lineRule="auto"/>
        <w:ind w:firstLine="851"/>
        <w:jc w:val="both"/>
        <w:rPr>
          <w:kern w:val="24"/>
          <w:lang w:val="uk-UA"/>
        </w:rPr>
      </w:pPr>
    </w:p>
    <w:p w:rsidR="008F52DA" w:rsidRPr="007D4E50" w:rsidRDefault="008F52DA" w:rsidP="00066969">
      <w:pPr>
        <w:widowControl w:val="0"/>
        <w:spacing w:line="276" w:lineRule="auto"/>
        <w:ind w:firstLine="851"/>
        <w:jc w:val="both"/>
        <w:rPr>
          <w:kern w:val="24"/>
          <w:lang w:val="uk-UA"/>
        </w:rPr>
      </w:pPr>
      <w:r w:rsidRPr="007D4E50">
        <w:rPr>
          <w:kern w:val="24"/>
          <w:lang w:val="uk-UA"/>
        </w:rPr>
        <w:t>Отже, аналіз рис. 4 та 5 показує, що, незважаючи на кризові явища в економіці, ситуація з розвитком туризму у місті суттєво покращується. Це підтверджують і дані мобільних операторів про суттєве збільшення кількості осіб, які перебували у місті більше 1 доби.</w:t>
      </w:r>
    </w:p>
    <w:p w:rsidR="008F52DA" w:rsidRPr="007D4E50" w:rsidRDefault="008F52DA" w:rsidP="00066969">
      <w:pPr>
        <w:widowControl w:val="0"/>
        <w:spacing w:line="276" w:lineRule="auto"/>
        <w:ind w:firstLine="851"/>
        <w:jc w:val="both"/>
        <w:rPr>
          <w:kern w:val="24"/>
          <w:lang w:val="uk-UA"/>
        </w:rPr>
      </w:pPr>
      <w:r w:rsidRPr="007D4E50">
        <w:rPr>
          <w:kern w:val="24"/>
          <w:lang w:val="uk-UA"/>
        </w:rPr>
        <w:t>У таблиці 1 наведено динаміку кількості об’єктів туристичної інфраструктури у місті Тернополі.</w:t>
      </w:r>
    </w:p>
    <w:p w:rsidR="008F52DA" w:rsidRPr="007D4E50" w:rsidRDefault="008F52DA" w:rsidP="00066969">
      <w:pPr>
        <w:widowControl w:val="0"/>
        <w:spacing w:line="276" w:lineRule="auto"/>
        <w:ind w:firstLine="851"/>
        <w:jc w:val="right"/>
        <w:rPr>
          <w:kern w:val="24"/>
          <w:lang w:val="uk-UA"/>
        </w:rPr>
      </w:pPr>
      <w:r w:rsidRPr="007D4E50">
        <w:rPr>
          <w:kern w:val="24"/>
          <w:lang w:val="uk-UA"/>
        </w:rPr>
        <w:t>Таблиця 1</w:t>
      </w:r>
    </w:p>
    <w:p w:rsidR="008F52DA" w:rsidRPr="007D4E50" w:rsidRDefault="008F52DA" w:rsidP="00066969">
      <w:pPr>
        <w:widowControl w:val="0"/>
        <w:spacing w:line="276" w:lineRule="auto"/>
        <w:ind w:firstLine="851"/>
        <w:contextualSpacing/>
        <w:jc w:val="center"/>
        <w:rPr>
          <w:b/>
          <w:kern w:val="24"/>
          <w:lang w:val="uk-UA"/>
        </w:rPr>
      </w:pPr>
      <w:r w:rsidRPr="007D4E50">
        <w:rPr>
          <w:b/>
          <w:kern w:val="24"/>
          <w:lang w:val="uk-UA"/>
        </w:rPr>
        <w:t>Динаміка кількості об’єктів туристичної інфраструктури у м. Тернополі</w:t>
      </w:r>
    </w:p>
    <w:tbl>
      <w:tblPr>
        <w:tblW w:w="0" w:type="auto"/>
        <w:tblLayout w:type="fixed"/>
        <w:tblLook w:val="0000"/>
      </w:tblPr>
      <w:tblGrid>
        <w:gridCol w:w="2392"/>
        <w:gridCol w:w="2393"/>
        <w:gridCol w:w="2392"/>
        <w:gridCol w:w="2393"/>
      </w:tblGrid>
      <w:tr w:rsidR="008F52DA" w:rsidRPr="007D4E50" w:rsidTr="00066969">
        <w:tc>
          <w:tcPr>
            <w:tcW w:w="2392" w:type="dxa"/>
            <w:tcBorders>
              <w:top w:val="single" w:sz="4" w:space="0" w:color="000000"/>
              <w:left w:val="single" w:sz="4" w:space="0" w:color="000000"/>
              <w:bottom w:val="single" w:sz="4" w:space="0" w:color="000000"/>
              <w:right w:val="single" w:sz="4" w:space="0" w:color="000000"/>
            </w:tcBorders>
            <w:vAlign w:val="center"/>
          </w:tcPr>
          <w:p w:rsidR="008F52DA" w:rsidRPr="007D4E50" w:rsidRDefault="008F52DA" w:rsidP="00066969">
            <w:pPr>
              <w:widowControl w:val="0"/>
              <w:spacing w:line="276" w:lineRule="auto"/>
              <w:ind w:firstLine="22"/>
              <w:contextualSpacing/>
              <w:jc w:val="center"/>
              <w:rPr>
                <w:b/>
                <w:kern w:val="24"/>
                <w:lang w:val="uk-UA"/>
              </w:rPr>
            </w:pPr>
            <w:r w:rsidRPr="007D4E50">
              <w:rPr>
                <w:b/>
                <w:kern w:val="24"/>
                <w:lang w:val="uk-UA"/>
              </w:rPr>
              <w:t>Роки</w:t>
            </w:r>
          </w:p>
        </w:tc>
        <w:tc>
          <w:tcPr>
            <w:tcW w:w="2393" w:type="dxa"/>
            <w:tcBorders>
              <w:top w:val="single" w:sz="4" w:space="0" w:color="000000"/>
              <w:left w:val="single" w:sz="4" w:space="0" w:color="000000"/>
              <w:bottom w:val="single" w:sz="4" w:space="0" w:color="000000"/>
              <w:right w:val="single" w:sz="4" w:space="0" w:color="000000"/>
            </w:tcBorders>
            <w:vAlign w:val="center"/>
          </w:tcPr>
          <w:p w:rsidR="008F52DA" w:rsidRPr="007D4E50" w:rsidRDefault="008F52DA" w:rsidP="00066969">
            <w:pPr>
              <w:widowControl w:val="0"/>
              <w:spacing w:line="276" w:lineRule="auto"/>
              <w:ind w:firstLine="22"/>
              <w:contextualSpacing/>
              <w:jc w:val="center"/>
              <w:rPr>
                <w:b/>
                <w:kern w:val="24"/>
                <w:lang w:val="uk-UA"/>
              </w:rPr>
            </w:pPr>
            <w:r w:rsidRPr="007D4E50">
              <w:rPr>
                <w:b/>
                <w:kern w:val="24"/>
                <w:lang w:val="uk-UA"/>
              </w:rPr>
              <w:t>Готелі та хостели</w:t>
            </w:r>
          </w:p>
        </w:tc>
        <w:tc>
          <w:tcPr>
            <w:tcW w:w="2392" w:type="dxa"/>
            <w:tcBorders>
              <w:top w:val="single" w:sz="4" w:space="0" w:color="000000"/>
              <w:left w:val="single" w:sz="4" w:space="0" w:color="000000"/>
              <w:bottom w:val="single" w:sz="4" w:space="0" w:color="000000"/>
              <w:right w:val="single" w:sz="4" w:space="0" w:color="000000"/>
            </w:tcBorders>
            <w:vAlign w:val="center"/>
          </w:tcPr>
          <w:p w:rsidR="008F52DA" w:rsidRPr="007D4E50" w:rsidRDefault="008F52DA" w:rsidP="00066969">
            <w:pPr>
              <w:widowControl w:val="0"/>
              <w:spacing w:line="276" w:lineRule="auto"/>
              <w:ind w:firstLine="22"/>
              <w:contextualSpacing/>
              <w:jc w:val="center"/>
              <w:rPr>
                <w:b/>
                <w:kern w:val="24"/>
                <w:lang w:val="uk-UA"/>
              </w:rPr>
            </w:pPr>
            <w:r w:rsidRPr="007D4E50">
              <w:rPr>
                <w:b/>
                <w:kern w:val="24"/>
                <w:lang w:val="uk-UA"/>
              </w:rPr>
              <w:t>Ресторани</w:t>
            </w:r>
          </w:p>
        </w:tc>
        <w:tc>
          <w:tcPr>
            <w:tcW w:w="2393" w:type="dxa"/>
            <w:tcBorders>
              <w:top w:val="single" w:sz="4" w:space="0" w:color="000000"/>
              <w:left w:val="single" w:sz="4" w:space="0" w:color="000000"/>
              <w:bottom w:val="single" w:sz="4" w:space="0" w:color="000000"/>
              <w:right w:val="single" w:sz="4" w:space="0" w:color="000000"/>
            </w:tcBorders>
            <w:vAlign w:val="center"/>
          </w:tcPr>
          <w:p w:rsidR="008F52DA" w:rsidRPr="007D4E50" w:rsidRDefault="008F52DA" w:rsidP="00066969">
            <w:pPr>
              <w:widowControl w:val="0"/>
              <w:spacing w:line="276" w:lineRule="auto"/>
              <w:ind w:firstLine="22"/>
              <w:contextualSpacing/>
              <w:jc w:val="center"/>
              <w:rPr>
                <w:b/>
                <w:kern w:val="24"/>
                <w:lang w:val="uk-UA"/>
              </w:rPr>
            </w:pPr>
            <w:r w:rsidRPr="007D4E50">
              <w:rPr>
                <w:b/>
                <w:kern w:val="24"/>
                <w:lang w:val="uk-UA"/>
              </w:rPr>
              <w:t>Туристичні фірми</w:t>
            </w:r>
          </w:p>
        </w:tc>
      </w:tr>
      <w:tr w:rsidR="008F52DA" w:rsidRPr="007D4E50" w:rsidTr="00066969">
        <w:tc>
          <w:tcPr>
            <w:tcW w:w="2392" w:type="dxa"/>
            <w:tcBorders>
              <w:top w:val="single" w:sz="4" w:space="0" w:color="000000"/>
              <w:left w:val="single" w:sz="4" w:space="0" w:color="000000"/>
              <w:bottom w:val="single" w:sz="4" w:space="0" w:color="000000"/>
              <w:right w:val="single" w:sz="4" w:space="0" w:color="000000"/>
            </w:tcBorders>
            <w:vAlign w:val="center"/>
          </w:tcPr>
          <w:p w:rsidR="008F52DA" w:rsidRPr="007D4E50" w:rsidRDefault="008F52DA" w:rsidP="00066969">
            <w:pPr>
              <w:widowControl w:val="0"/>
              <w:spacing w:line="276" w:lineRule="auto"/>
              <w:ind w:firstLine="22"/>
              <w:contextualSpacing/>
              <w:jc w:val="center"/>
              <w:rPr>
                <w:kern w:val="24"/>
                <w:lang w:val="uk-UA"/>
              </w:rPr>
            </w:pPr>
            <w:r w:rsidRPr="007D4E50">
              <w:rPr>
                <w:kern w:val="24"/>
                <w:lang w:val="uk-UA"/>
              </w:rPr>
              <w:t>2016</w:t>
            </w:r>
          </w:p>
        </w:tc>
        <w:tc>
          <w:tcPr>
            <w:tcW w:w="2393" w:type="dxa"/>
            <w:tcBorders>
              <w:top w:val="single" w:sz="4" w:space="0" w:color="000000"/>
              <w:left w:val="single" w:sz="4" w:space="0" w:color="000000"/>
              <w:bottom w:val="single" w:sz="4" w:space="0" w:color="000000"/>
              <w:right w:val="single" w:sz="4" w:space="0" w:color="000000"/>
            </w:tcBorders>
            <w:vAlign w:val="center"/>
          </w:tcPr>
          <w:p w:rsidR="008F52DA" w:rsidRPr="007D4E50" w:rsidRDefault="008F52DA" w:rsidP="00066969">
            <w:pPr>
              <w:widowControl w:val="0"/>
              <w:spacing w:line="276" w:lineRule="auto"/>
              <w:ind w:firstLine="22"/>
              <w:contextualSpacing/>
              <w:jc w:val="center"/>
              <w:rPr>
                <w:kern w:val="24"/>
                <w:lang w:val="uk-UA"/>
              </w:rPr>
            </w:pPr>
            <w:r w:rsidRPr="007D4E50">
              <w:rPr>
                <w:kern w:val="24"/>
                <w:lang w:val="uk-UA"/>
              </w:rPr>
              <w:t>28</w:t>
            </w:r>
          </w:p>
        </w:tc>
        <w:tc>
          <w:tcPr>
            <w:tcW w:w="2392" w:type="dxa"/>
            <w:tcBorders>
              <w:top w:val="single" w:sz="4" w:space="0" w:color="000000"/>
              <w:left w:val="single" w:sz="4" w:space="0" w:color="000000"/>
              <w:bottom w:val="single" w:sz="4" w:space="0" w:color="000000"/>
              <w:right w:val="single" w:sz="4" w:space="0" w:color="000000"/>
            </w:tcBorders>
            <w:vAlign w:val="center"/>
          </w:tcPr>
          <w:p w:rsidR="008F52DA" w:rsidRPr="007D4E50" w:rsidRDefault="008F52DA" w:rsidP="00066969">
            <w:pPr>
              <w:widowControl w:val="0"/>
              <w:spacing w:line="276" w:lineRule="auto"/>
              <w:ind w:firstLine="22"/>
              <w:contextualSpacing/>
              <w:jc w:val="center"/>
              <w:rPr>
                <w:kern w:val="24"/>
                <w:lang w:val="uk-UA"/>
              </w:rPr>
            </w:pPr>
            <w:r w:rsidRPr="007D4E50">
              <w:rPr>
                <w:kern w:val="24"/>
                <w:lang w:val="uk-UA"/>
              </w:rPr>
              <w:t>45</w:t>
            </w:r>
          </w:p>
        </w:tc>
        <w:tc>
          <w:tcPr>
            <w:tcW w:w="2393" w:type="dxa"/>
            <w:tcBorders>
              <w:top w:val="single" w:sz="4" w:space="0" w:color="000000"/>
              <w:left w:val="single" w:sz="4" w:space="0" w:color="000000"/>
              <w:bottom w:val="single" w:sz="4" w:space="0" w:color="000000"/>
              <w:right w:val="single" w:sz="4" w:space="0" w:color="000000"/>
            </w:tcBorders>
            <w:vAlign w:val="center"/>
          </w:tcPr>
          <w:p w:rsidR="008F52DA" w:rsidRPr="007D4E50" w:rsidRDefault="008F52DA" w:rsidP="00066969">
            <w:pPr>
              <w:widowControl w:val="0"/>
              <w:spacing w:line="276" w:lineRule="auto"/>
              <w:ind w:firstLine="22"/>
              <w:contextualSpacing/>
              <w:jc w:val="center"/>
              <w:rPr>
                <w:kern w:val="24"/>
                <w:lang w:val="uk-UA"/>
              </w:rPr>
            </w:pPr>
            <w:r w:rsidRPr="007D4E50">
              <w:rPr>
                <w:kern w:val="24"/>
                <w:lang w:val="uk-UA"/>
              </w:rPr>
              <w:t>85</w:t>
            </w:r>
          </w:p>
        </w:tc>
      </w:tr>
      <w:tr w:rsidR="008F52DA" w:rsidRPr="007D4E50" w:rsidTr="00066969">
        <w:tc>
          <w:tcPr>
            <w:tcW w:w="2392" w:type="dxa"/>
            <w:tcBorders>
              <w:top w:val="single" w:sz="4" w:space="0" w:color="000000"/>
              <w:left w:val="single" w:sz="4" w:space="0" w:color="000000"/>
              <w:bottom w:val="single" w:sz="4" w:space="0" w:color="000000"/>
              <w:right w:val="single" w:sz="4" w:space="0" w:color="000000"/>
            </w:tcBorders>
            <w:vAlign w:val="center"/>
          </w:tcPr>
          <w:p w:rsidR="008F52DA" w:rsidRPr="007D4E50" w:rsidRDefault="008F52DA" w:rsidP="00066969">
            <w:pPr>
              <w:widowControl w:val="0"/>
              <w:spacing w:line="276" w:lineRule="auto"/>
              <w:ind w:firstLine="22"/>
              <w:contextualSpacing/>
              <w:jc w:val="center"/>
              <w:rPr>
                <w:kern w:val="24"/>
                <w:lang w:val="uk-UA"/>
              </w:rPr>
            </w:pPr>
            <w:r w:rsidRPr="007D4E50">
              <w:rPr>
                <w:kern w:val="24"/>
                <w:lang w:val="uk-UA"/>
              </w:rPr>
              <w:t>2017</w:t>
            </w:r>
          </w:p>
        </w:tc>
        <w:tc>
          <w:tcPr>
            <w:tcW w:w="2393" w:type="dxa"/>
            <w:tcBorders>
              <w:top w:val="single" w:sz="4" w:space="0" w:color="000000"/>
              <w:left w:val="single" w:sz="4" w:space="0" w:color="000000"/>
              <w:bottom w:val="single" w:sz="4" w:space="0" w:color="000000"/>
              <w:right w:val="single" w:sz="4" w:space="0" w:color="000000"/>
            </w:tcBorders>
            <w:vAlign w:val="center"/>
          </w:tcPr>
          <w:p w:rsidR="008F52DA" w:rsidRPr="007D4E50" w:rsidRDefault="008F52DA" w:rsidP="00066969">
            <w:pPr>
              <w:widowControl w:val="0"/>
              <w:spacing w:line="276" w:lineRule="auto"/>
              <w:ind w:firstLine="22"/>
              <w:contextualSpacing/>
              <w:jc w:val="center"/>
              <w:rPr>
                <w:kern w:val="24"/>
                <w:lang w:val="uk-UA"/>
              </w:rPr>
            </w:pPr>
            <w:r w:rsidRPr="007D4E50">
              <w:rPr>
                <w:kern w:val="24"/>
                <w:lang w:val="uk-UA"/>
              </w:rPr>
              <w:t>29 (26/3)</w:t>
            </w:r>
          </w:p>
        </w:tc>
        <w:tc>
          <w:tcPr>
            <w:tcW w:w="2392" w:type="dxa"/>
            <w:tcBorders>
              <w:top w:val="single" w:sz="4" w:space="0" w:color="000000"/>
              <w:left w:val="single" w:sz="4" w:space="0" w:color="000000"/>
              <w:bottom w:val="single" w:sz="4" w:space="0" w:color="000000"/>
              <w:right w:val="single" w:sz="4" w:space="0" w:color="000000"/>
            </w:tcBorders>
            <w:vAlign w:val="center"/>
          </w:tcPr>
          <w:p w:rsidR="008F52DA" w:rsidRPr="007D4E50" w:rsidRDefault="008F52DA" w:rsidP="00066969">
            <w:pPr>
              <w:widowControl w:val="0"/>
              <w:spacing w:line="276" w:lineRule="auto"/>
              <w:ind w:firstLine="22"/>
              <w:contextualSpacing/>
              <w:jc w:val="center"/>
              <w:rPr>
                <w:kern w:val="24"/>
                <w:lang w:val="uk-UA"/>
              </w:rPr>
            </w:pPr>
            <w:r w:rsidRPr="007D4E50">
              <w:rPr>
                <w:kern w:val="24"/>
                <w:lang w:val="uk-UA"/>
              </w:rPr>
              <w:t>45</w:t>
            </w:r>
          </w:p>
        </w:tc>
        <w:tc>
          <w:tcPr>
            <w:tcW w:w="2393" w:type="dxa"/>
            <w:tcBorders>
              <w:top w:val="single" w:sz="4" w:space="0" w:color="000000"/>
              <w:left w:val="single" w:sz="4" w:space="0" w:color="000000"/>
              <w:bottom w:val="single" w:sz="4" w:space="0" w:color="000000"/>
              <w:right w:val="single" w:sz="4" w:space="0" w:color="000000"/>
            </w:tcBorders>
            <w:vAlign w:val="center"/>
          </w:tcPr>
          <w:p w:rsidR="008F52DA" w:rsidRPr="007D4E50" w:rsidRDefault="008F52DA" w:rsidP="00066969">
            <w:pPr>
              <w:widowControl w:val="0"/>
              <w:spacing w:line="276" w:lineRule="auto"/>
              <w:ind w:firstLine="22"/>
              <w:contextualSpacing/>
              <w:jc w:val="center"/>
              <w:rPr>
                <w:kern w:val="24"/>
                <w:lang w:val="uk-UA"/>
              </w:rPr>
            </w:pPr>
            <w:r w:rsidRPr="007D4E50">
              <w:rPr>
                <w:kern w:val="24"/>
                <w:lang w:val="uk-UA"/>
              </w:rPr>
              <w:t>85</w:t>
            </w:r>
          </w:p>
        </w:tc>
      </w:tr>
      <w:tr w:rsidR="008F52DA" w:rsidRPr="007D4E50" w:rsidTr="00066969">
        <w:tc>
          <w:tcPr>
            <w:tcW w:w="2392" w:type="dxa"/>
            <w:tcBorders>
              <w:top w:val="single" w:sz="4" w:space="0" w:color="000000"/>
              <w:left w:val="single" w:sz="4" w:space="0" w:color="000000"/>
              <w:bottom w:val="single" w:sz="4" w:space="0" w:color="000000"/>
              <w:right w:val="single" w:sz="4" w:space="0" w:color="000000"/>
            </w:tcBorders>
            <w:vAlign w:val="center"/>
          </w:tcPr>
          <w:p w:rsidR="008F52DA" w:rsidRPr="007D4E50" w:rsidRDefault="008F52DA" w:rsidP="00066969">
            <w:pPr>
              <w:widowControl w:val="0"/>
              <w:spacing w:line="276" w:lineRule="auto"/>
              <w:ind w:firstLine="22"/>
              <w:contextualSpacing/>
              <w:jc w:val="center"/>
              <w:rPr>
                <w:kern w:val="24"/>
                <w:lang w:val="uk-UA"/>
              </w:rPr>
            </w:pPr>
            <w:r w:rsidRPr="007D4E50">
              <w:rPr>
                <w:kern w:val="24"/>
                <w:lang w:val="uk-UA"/>
              </w:rPr>
              <w:t>01.11.2018</w:t>
            </w:r>
          </w:p>
        </w:tc>
        <w:tc>
          <w:tcPr>
            <w:tcW w:w="2393" w:type="dxa"/>
            <w:tcBorders>
              <w:top w:val="single" w:sz="4" w:space="0" w:color="000000"/>
              <w:left w:val="single" w:sz="4" w:space="0" w:color="000000"/>
              <w:bottom w:val="single" w:sz="4" w:space="0" w:color="000000"/>
              <w:right w:val="single" w:sz="4" w:space="0" w:color="000000"/>
            </w:tcBorders>
            <w:vAlign w:val="center"/>
          </w:tcPr>
          <w:p w:rsidR="008F52DA" w:rsidRPr="007D4E50" w:rsidRDefault="008F52DA" w:rsidP="00066969">
            <w:pPr>
              <w:widowControl w:val="0"/>
              <w:spacing w:line="276" w:lineRule="auto"/>
              <w:ind w:firstLine="22"/>
              <w:contextualSpacing/>
              <w:jc w:val="center"/>
              <w:rPr>
                <w:kern w:val="24"/>
                <w:lang w:val="uk-UA"/>
              </w:rPr>
            </w:pPr>
            <w:r w:rsidRPr="007D4E50">
              <w:rPr>
                <w:kern w:val="24"/>
                <w:lang w:val="uk-UA"/>
              </w:rPr>
              <w:t>30 (23/7)</w:t>
            </w:r>
          </w:p>
        </w:tc>
        <w:tc>
          <w:tcPr>
            <w:tcW w:w="2392" w:type="dxa"/>
            <w:tcBorders>
              <w:top w:val="single" w:sz="4" w:space="0" w:color="000000"/>
              <w:left w:val="single" w:sz="4" w:space="0" w:color="000000"/>
              <w:bottom w:val="single" w:sz="4" w:space="0" w:color="000000"/>
              <w:right w:val="single" w:sz="4" w:space="0" w:color="000000"/>
            </w:tcBorders>
            <w:vAlign w:val="center"/>
          </w:tcPr>
          <w:p w:rsidR="008F52DA" w:rsidRPr="007D4E50" w:rsidRDefault="008F52DA" w:rsidP="00066969">
            <w:pPr>
              <w:widowControl w:val="0"/>
              <w:spacing w:line="276" w:lineRule="auto"/>
              <w:ind w:firstLine="22"/>
              <w:contextualSpacing/>
              <w:jc w:val="center"/>
              <w:rPr>
                <w:kern w:val="24"/>
                <w:lang w:val="uk-UA"/>
              </w:rPr>
            </w:pPr>
            <w:r w:rsidRPr="007D4E50">
              <w:rPr>
                <w:kern w:val="24"/>
                <w:lang w:val="uk-UA"/>
              </w:rPr>
              <w:t>44</w:t>
            </w:r>
          </w:p>
        </w:tc>
        <w:tc>
          <w:tcPr>
            <w:tcW w:w="2393" w:type="dxa"/>
            <w:tcBorders>
              <w:top w:val="single" w:sz="4" w:space="0" w:color="000000"/>
              <w:left w:val="single" w:sz="4" w:space="0" w:color="000000"/>
              <w:bottom w:val="single" w:sz="4" w:space="0" w:color="000000"/>
              <w:right w:val="single" w:sz="4" w:space="0" w:color="000000"/>
            </w:tcBorders>
            <w:vAlign w:val="center"/>
          </w:tcPr>
          <w:p w:rsidR="008F52DA" w:rsidRPr="007D4E50" w:rsidRDefault="008F52DA" w:rsidP="00066969">
            <w:pPr>
              <w:widowControl w:val="0"/>
              <w:spacing w:line="276" w:lineRule="auto"/>
              <w:ind w:firstLine="22"/>
              <w:contextualSpacing/>
              <w:jc w:val="center"/>
              <w:rPr>
                <w:kern w:val="24"/>
                <w:lang w:val="uk-UA"/>
              </w:rPr>
            </w:pPr>
            <w:r w:rsidRPr="007D4E50">
              <w:rPr>
                <w:kern w:val="24"/>
                <w:lang w:val="uk-UA"/>
              </w:rPr>
              <w:t>93</w:t>
            </w:r>
          </w:p>
        </w:tc>
      </w:tr>
    </w:tbl>
    <w:p w:rsidR="008F52DA" w:rsidRPr="007D4E50" w:rsidRDefault="008F52DA" w:rsidP="00066969">
      <w:pPr>
        <w:widowControl w:val="0"/>
        <w:spacing w:line="360" w:lineRule="auto"/>
        <w:ind w:firstLine="851"/>
        <w:jc w:val="center"/>
        <w:rPr>
          <w:kern w:val="24"/>
          <w:lang w:val="uk-UA"/>
        </w:rPr>
      </w:pPr>
    </w:p>
    <w:p w:rsidR="008F52DA" w:rsidRPr="007D4E50" w:rsidRDefault="008F52DA" w:rsidP="00066969">
      <w:pPr>
        <w:widowControl w:val="0"/>
        <w:spacing w:line="276" w:lineRule="auto"/>
        <w:ind w:firstLine="851"/>
        <w:jc w:val="center"/>
        <w:rPr>
          <w:b/>
          <w:lang w:val="uk-UA"/>
        </w:rPr>
      </w:pPr>
      <w:r w:rsidRPr="007D4E50">
        <w:rPr>
          <w:b/>
          <w:lang w:val="uk-UA"/>
        </w:rPr>
        <w:t>3. Зовнішня реклама</w:t>
      </w:r>
    </w:p>
    <w:p w:rsidR="008F52DA" w:rsidRPr="007D4E50" w:rsidRDefault="008F52DA" w:rsidP="00066969">
      <w:pPr>
        <w:widowControl w:val="0"/>
        <w:spacing w:line="276" w:lineRule="auto"/>
        <w:ind w:firstLine="851"/>
        <w:jc w:val="both"/>
        <w:rPr>
          <w:kern w:val="24"/>
          <w:lang w:val="uk-UA"/>
        </w:rPr>
      </w:pPr>
      <w:r w:rsidRPr="007D4E50">
        <w:rPr>
          <w:kern w:val="24"/>
          <w:lang w:val="uk-UA"/>
        </w:rPr>
        <w:t>На виконання Плану заходів Тернопільської міської ради у 2018 році подаємо інформацію про виконання плану надходжень від плати за тимчасове користування місцями розташування рекламних засобів, що перебувають у комунальній власності (таблиця 2).</w:t>
      </w:r>
    </w:p>
    <w:p w:rsidR="008F52DA" w:rsidRPr="007D4E50" w:rsidRDefault="008F52DA" w:rsidP="00066969">
      <w:pPr>
        <w:widowControl w:val="0"/>
        <w:spacing w:line="276" w:lineRule="auto"/>
        <w:ind w:firstLine="851"/>
        <w:jc w:val="both"/>
        <w:rPr>
          <w:kern w:val="24"/>
          <w:lang w:val="uk-UA"/>
        </w:rPr>
      </w:pPr>
      <w:r w:rsidRPr="007D4E50">
        <w:rPr>
          <w:kern w:val="24"/>
          <w:lang w:val="uk-UA"/>
        </w:rPr>
        <w:t>До місцевого бюджету  перераховано:</w:t>
      </w:r>
    </w:p>
    <w:p w:rsidR="008F52DA" w:rsidRPr="007D4E50" w:rsidRDefault="008F52DA" w:rsidP="00066969">
      <w:pPr>
        <w:widowControl w:val="0"/>
        <w:spacing w:line="276" w:lineRule="auto"/>
        <w:ind w:firstLine="851"/>
        <w:jc w:val="both"/>
        <w:rPr>
          <w:kern w:val="24"/>
          <w:lang w:val="uk-UA"/>
        </w:rPr>
      </w:pPr>
      <w:r w:rsidRPr="007D4E50">
        <w:rPr>
          <w:kern w:val="24"/>
          <w:lang w:val="uk-UA"/>
        </w:rPr>
        <w:t>У 2016р.                          -  3660,0тис.грн. (108% виконання)</w:t>
      </w:r>
    </w:p>
    <w:p w:rsidR="008F52DA" w:rsidRPr="007D4E50" w:rsidRDefault="008F52DA" w:rsidP="00066969">
      <w:pPr>
        <w:widowControl w:val="0"/>
        <w:spacing w:line="276" w:lineRule="auto"/>
        <w:ind w:firstLine="851"/>
        <w:jc w:val="both"/>
        <w:rPr>
          <w:kern w:val="24"/>
          <w:lang w:val="uk-UA"/>
        </w:rPr>
      </w:pPr>
      <w:r w:rsidRPr="007D4E50">
        <w:rPr>
          <w:kern w:val="24"/>
          <w:lang w:val="uk-UA"/>
        </w:rPr>
        <w:t>У 2017р.                          -  3450,0тис.грн. (105% виконання)</w:t>
      </w:r>
    </w:p>
    <w:p w:rsidR="008F52DA" w:rsidRPr="007D4E50" w:rsidRDefault="008F52DA" w:rsidP="00066969">
      <w:pPr>
        <w:widowControl w:val="0"/>
        <w:spacing w:line="276" w:lineRule="auto"/>
        <w:ind w:firstLine="851"/>
        <w:jc w:val="both"/>
        <w:rPr>
          <w:kern w:val="24"/>
          <w:lang w:val="uk-UA"/>
        </w:rPr>
      </w:pPr>
      <w:r w:rsidRPr="007D4E50">
        <w:rPr>
          <w:kern w:val="24"/>
          <w:lang w:val="uk-UA"/>
        </w:rPr>
        <w:t>У 2018р.(за 10місяців)  -  3300,0тис.грн. в т.ч. по місяцях</w:t>
      </w:r>
    </w:p>
    <w:p w:rsidR="008F52DA" w:rsidRPr="007D4E50" w:rsidRDefault="008F52DA" w:rsidP="00066969">
      <w:pPr>
        <w:widowControl w:val="0"/>
        <w:spacing w:line="276" w:lineRule="auto"/>
        <w:ind w:firstLine="851"/>
        <w:jc w:val="both"/>
        <w:rPr>
          <w:kern w:val="24"/>
          <w:lang w:val="uk-UA"/>
        </w:rPr>
      </w:pPr>
      <w:r w:rsidRPr="007D4E50">
        <w:rPr>
          <w:kern w:val="24"/>
          <w:lang w:val="uk-UA"/>
        </w:rPr>
        <w:t xml:space="preserve">У 2018р. (прогноз)        -  3600,0тис.грн. (113% виконання) </w:t>
      </w:r>
    </w:p>
    <w:p w:rsidR="008F52DA" w:rsidRPr="007D4E50" w:rsidRDefault="008F52DA" w:rsidP="00066969">
      <w:pPr>
        <w:tabs>
          <w:tab w:val="left" w:pos="7770"/>
        </w:tabs>
        <w:ind w:firstLine="851"/>
        <w:jc w:val="both"/>
        <w:rPr>
          <w:lang w:val="uk-UA"/>
        </w:rPr>
      </w:pPr>
      <w:r w:rsidRPr="007D4E50">
        <w:rPr>
          <w:lang w:val="uk-UA"/>
        </w:rPr>
        <w:tab/>
      </w:r>
    </w:p>
    <w:p w:rsidR="008F52DA" w:rsidRPr="007D4E50" w:rsidRDefault="008F52DA" w:rsidP="00066969">
      <w:pPr>
        <w:tabs>
          <w:tab w:val="left" w:pos="7770"/>
        </w:tabs>
        <w:ind w:firstLine="851"/>
        <w:jc w:val="both"/>
        <w:rPr>
          <w:lang w:val="uk-UA"/>
        </w:rPr>
      </w:pPr>
      <w:r w:rsidRPr="007D4E50">
        <w:rPr>
          <w:lang w:val="uk-UA"/>
        </w:rPr>
        <w:tab/>
      </w:r>
    </w:p>
    <w:p w:rsidR="008F52DA" w:rsidRPr="007D4E50" w:rsidRDefault="008F52DA" w:rsidP="00066969">
      <w:pPr>
        <w:tabs>
          <w:tab w:val="left" w:pos="7770"/>
        </w:tabs>
        <w:ind w:firstLine="851"/>
        <w:jc w:val="both"/>
        <w:rPr>
          <w:lang w:val="uk-UA"/>
        </w:rPr>
      </w:pPr>
    </w:p>
    <w:p w:rsidR="008F52DA" w:rsidRPr="007D4E50" w:rsidRDefault="008F52DA" w:rsidP="00066969">
      <w:pPr>
        <w:tabs>
          <w:tab w:val="left" w:pos="7770"/>
        </w:tabs>
        <w:ind w:firstLine="851"/>
        <w:jc w:val="both"/>
        <w:rPr>
          <w:lang w:val="uk-UA"/>
        </w:rPr>
      </w:pPr>
    </w:p>
    <w:p w:rsidR="008F52DA" w:rsidRPr="007D4E50" w:rsidRDefault="008F52DA" w:rsidP="00066969">
      <w:pPr>
        <w:tabs>
          <w:tab w:val="left" w:pos="7770"/>
        </w:tabs>
        <w:ind w:firstLine="851"/>
        <w:jc w:val="both"/>
        <w:rPr>
          <w:lang w:val="uk-UA"/>
        </w:rPr>
      </w:pPr>
    </w:p>
    <w:p w:rsidR="008F52DA" w:rsidRDefault="008F52DA" w:rsidP="00066969">
      <w:pPr>
        <w:tabs>
          <w:tab w:val="left" w:pos="7770"/>
        </w:tabs>
        <w:ind w:firstLine="851"/>
        <w:jc w:val="right"/>
        <w:rPr>
          <w:lang w:val="uk-UA"/>
        </w:rPr>
      </w:pPr>
    </w:p>
    <w:p w:rsidR="008F52DA" w:rsidRDefault="008F52DA" w:rsidP="00066969">
      <w:pPr>
        <w:tabs>
          <w:tab w:val="left" w:pos="7770"/>
        </w:tabs>
        <w:ind w:firstLine="851"/>
        <w:jc w:val="right"/>
        <w:rPr>
          <w:lang w:val="uk-UA"/>
        </w:rPr>
      </w:pPr>
    </w:p>
    <w:p w:rsidR="008F52DA" w:rsidRDefault="008F52DA" w:rsidP="00066969">
      <w:pPr>
        <w:tabs>
          <w:tab w:val="left" w:pos="7770"/>
        </w:tabs>
        <w:ind w:firstLine="851"/>
        <w:jc w:val="right"/>
        <w:rPr>
          <w:lang w:val="uk-UA"/>
        </w:rPr>
      </w:pPr>
    </w:p>
    <w:p w:rsidR="008F52DA" w:rsidRPr="007D4E50" w:rsidRDefault="008F52DA" w:rsidP="00066969">
      <w:pPr>
        <w:tabs>
          <w:tab w:val="left" w:pos="7770"/>
        </w:tabs>
        <w:ind w:firstLine="851"/>
        <w:jc w:val="right"/>
        <w:rPr>
          <w:lang w:val="uk-UA"/>
        </w:rPr>
      </w:pPr>
      <w:r w:rsidRPr="007D4E50">
        <w:rPr>
          <w:lang w:val="uk-UA"/>
        </w:rPr>
        <w:t>Таблиця 2</w:t>
      </w:r>
    </w:p>
    <w:p w:rsidR="008F52DA" w:rsidRPr="007D4E50" w:rsidRDefault="008F52DA" w:rsidP="00066969">
      <w:pPr>
        <w:widowControl w:val="0"/>
        <w:spacing w:line="276" w:lineRule="auto"/>
        <w:ind w:firstLine="851"/>
        <w:contextualSpacing/>
        <w:jc w:val="center"/>
        <w:rPr>
          <w:b/>
          <w:kern w:val="24"/>
          <w:lang w:val="uk-UA"/>
        </w:rPr>
      </w:pPr>
      <w:r w:rsidRPr="007D4E50">
        <w:rPr>
          <w:b/>
          <w:kern w:val="24"/>
          <w:lang w:val="uk-UA"/>
        </w:rPr>
        <w:t>Надходження від плати за тимчасове користування місцями розташування рекламних засобів, що перебувають у комунальній власності</w:t>
      </w:r>
    </w:p>
    <w:p w:rsidR="008F52DA" w:rsidRPr="007D4E50" w:rsidRDefault="008F52DA" w:rsidP="00066969">
      <w:pPr>
        <w:ind w:firstLine="851"/>
        <w:jc w:val="both"/>
        <w:rPr>
          <w:lang w:val="uk-UA"/>
        </w:rPr>
      </w:pPr>
      <w:r w:rsidRPr="007D4E50">
        <w:rPr>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8"/>
        <w:gridCol w:w="3238"/>
        <w:gridCol w:w="3238"/>
      </w:tblGrid>
      <w:tr w:rsidR="008F52DA" w:rsidRPr="007D4E50" w:rsidTr="00066969">
        <w:tc>
          <w:tcPr>
            <w:tcW w:w="3238" w:type="dxa"/>
            <w:shd w:val="clear" w:color="auto" w:fill="auto"/>
          </w:tcPr>
          <w:p w:rsidR="008F52DA" w:rsidRPr="007D4E50" w:rsidRDefault="008F52DA" w:rsidP="00066969">
            <w:pPr>
              <w:spacing w:line="276" w:lineRule="auto"/>
              <w:ind w:firstLine="22"/>
              <w:jc w:val="center"/>
              <w:rPr>
                <w:b/>
                <w:lang w:val="uk-UA"/>
              </w:rPr>
            </w:pPr>
            <w:r w:rsidRPr="007D4E50">
              <w:rPr>
                <w:b/>
                <w:lang w:val="uk-UA"/>
              </w:rPr>
              <w:t>Місяць 2018 року</w:t>
            </w:r>
          </w:p>
        </w:tc>
        <w:tc>
          <w:tcPr>
            <w:tcW w:w="3238" w:type="dxa"/>
            <w:shd w:val="clear" w:color="auto" w:fill="auto"/>
          </w:tcPr>
          <w:p w:rsidR="008F52DA" w:rsidRPr="007D4E50" w:rsidRDefault="008F52DA" w:rsidP="00066969">
            <w:pPr>
              <w:spacing w:line="276" w:lineRule="auto"/>
              <w:ind w:firstLine="22"/>
              <w:jc w:val="center"/>
              <w:rPr>
                <w:b/>
                <w:lang w:val="uk-UA"/>
              </w:rPr>
            </w:pPr>
            <w:r w:rsidRPr="007D4E50">
              <w:rPr>
                <w:b/>
                <w:lang w:val="uk-UA"/>
              </w:rPr>
              <w:t>Факт</w:t>
            </w:r>
          </w:p>
        </w:tc>
        <w:tc>
          <w:tcPr>
            <w:tcW w:w="3238" w:type="dxa"/>
            <w:shd w:val="clear" w:color="auto" w:fill="auto"/>
          </w:tcPr>
          <w:p w:rsidR="008F52DA" w:rsidRPr="007D4E50" w:rsidRDefault="008F52DA" w:rsidP="00066969">
            <w:pPr>
              <w:spacing w:line="276" w:lineRule="auto"/>
              <w:ind w:firstLine="22"/>
              <w:jc w:val="center"/>
              <w:rPr>
                <w:b/>
                <w:lang w:val="uk-UA"/>
              </w:rPr>
            </w:pPr>
            <w:r w:rsidRPr="007D4E50">
              <w:rPr>
                <w:b/>
                <w:lang w:val="uk-UA"/>
              </w:rPr>
              <w:t>План</w:t>
            </w:r>
          </w:p>
        </w:tc>
      </w:tr>
      <w:tr w:rsidR="008F52DA" w:rsidRPr="007D4E50" w:rsidTr="00066969">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Січень</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300,0</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300,0</w:t>
            </w:r>
          </w:p>
        </w:tc>
      </w:tr>
      <w:tr w:rsidR="008F52DA" w:rsidRPr="007D4E50" w:rsidTr="00066969">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Лютий</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300,0</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270,0</w:t>
            </w:r>
          </w:p>
        </w:tc>
      </w:tr>
      <w:tr w:rsidR="008F52DA" w:rsidRPr="007D4E50" w:rsidTr="00066969">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Березень</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250,0</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270,0</w:t>
            </w:r>
          </w:p>
        </w:tc>
      </w:tr>
      <w:tr w:rsidR="008F52DA" w:rsidRPr="007D4E50" w:rsidTr="00066969">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Квітень</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300,0</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270,0</w:t>
            </w:r>
          </w:p>
        </w:tc>
      </w:tr>
      <w:tr w:rsidR="008F52DA" w:rsidRPr="007D4E50" w:rsidTr="00066969">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Травень</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270,0</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270,0</w:t>
            </w:r>
          </w:p>
        </w:tc>
      </w:tr>
      <w:tr w:rsidR="008F52DA" w:rsidRPr="007D4E50" w:rsidTr="00066969">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Червень</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270,0</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270,0</w:t>
            </w:r>
          </w:p>
        </w:tc>
      </w:tr>
      <w:tr w:rsidR="008F52DA" w:rsidRPr="007D4E50" w:rsidTr="00066969">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Липень</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270,0</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270,0</w:t>
            </w:r>
          </w:p>
        </w:tc>
      </w:tr>
      <w:tr w:rsidR="008F52DA" w:rsidRPr="007D4E50" w:rsidTr="00066969">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Серпень</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270,0</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270,0</w:t>
            </w:r>
          </w:p>
        </w:tc>
      </w:tr>
      <w:tr w:rsidR="008F52DA" w:rsidRPr="007D4E50" w:rsidTr="00066969">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Вересень</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270,0</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270,0</w:t>
            </w:r>
          </w:p>
        </w:tc>
      </w:tr>
      <w:tr w:rsidR="008F52DA" w:rsidRPr="007D4E50" w:rsidTr="00066969">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Жовтень</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800,0</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270,0</w:t>
            </w:r>
          </w:p>
        </w:tc>
      </w:tr>
      <w:tr w:rsidR="008F52DA" w:rsidRPr="007D4E50" w:rsidTr="00066969">
        <w:tc>
          <w:tcPr>
            <w:tcW w:w="3238" w:type="dxa"/>
            <w:shd w:val="clear" w:color="auto" w:fill="auto"/>
          </w:tcPr>
          <w:p w:rsidR="008F52DA" w:rsidRPr="007D4E50" w:rsidRDefault="008F52DA" w:rsidP="00066969">
            <w:pPr>
              <w:spacing w:line="276" w:lineRule="auto"/>
              <w:ind w:firstLine="22"/>
              <w:jc w:val="center"/>
              <w:rPr>
                <w:lang w:val="uk-UA"/>
              </w:rPr>
            </w:pPr>
            <w:r w:rsidRPr="007D4E50">
              <w:rPr>
                <w:b/>
                <w:lang w:val="uk-UA"/>
              </w:rPr>
              <w:t>Всього за 10 місяців 2018р</w:t>
            </w:r>
            <w:r w:rsidRPr="007D4E50">
              <w:rPr>
                <w:lang w:val="uk-UA"/>
              </w:rPr>
              <w:t>.</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3300,0</w:t>
            </w:r>
          </w:p>
        </w:tc>
        <w:tc>
          <w:tcPr>
            <w:tcW w:w="3238" w:type="dxa"/>
            <w:shd w:val="clear" w:color="auto" w:fill="auto"/>
          </w:tcPr>
          <w:p w:rsidR="008F52DA" w:rsidRPr="007D4E50" w:rsidRDefault="008F52DA" w:rsidP="00066969">
            <w:pPr>
              <w:spacing w:line="276" w:lineRule="auto"/>
              <w:ind w:firstLine="22"/>
              <w:jc w:val="center"/>
              <w:rPr>
                <w:lang w:val="uk-UA"/>
              </w:rPr>
            </w:pPr>
            <w:r w:rsidRPr="007D4E50">
              <w:rPr>
                <w:lang w:val="uk-UA"/>
              </w:rPr>
              <w:t>2730,0</w:t>
            </w:r>
          </w:p>
        </w:tc>
      </w:tr>
    </w:tbl>
    <w:p w:rsidR="008F52DA" w:rsidRPr="007D4E50" w:rsidRDefault="008F52DA" w:rsidP="00066969">
      <w:pPr>
        <w:ind w:firstLine="851"/>
        <w:jc w:val="both"/>
        <w:rPr>
          <w:lang w:val="uk-UA"/>
        </w:rPr>
      </w:pPr>
    </w:p>
    <w:p w:rsidR="008F52DA" w:rsidRPr="007D4E50" w:rsidRDefault="008F52DA" w:rsidP="00066969">
      <w:pPr>
        <w:widowControl w:val="0"/>
        <w:spacing w:line="276" w:lineRule="auto"/>
        <w:ind w:firstLine="851"/>
        <w:jc w:val="both"/>
        <w:rPr>
          <w:kern w:val="24"/>
          <w:lang w:val="uk-UA"/>
        </w:rPr>
      </w:pPr>
      <w:r w:rsidRPr="007D4E50">
        <w:rPr>
          <w:kern w:val="24"/>
          <w:lang w:val="uk-UA"/>
        </w:rPr>
        <w:t>До державного бюджету (ПДВ) перераховано:</w:t>
      </w:r>
    </w:p>
    <w:p w:rsidR="008F52DA" w:rsidRPr="007D4E50" w:rsidRDefault="008F52DA" w:rsidP="00066969">
      <w:pPr>
        <w:widowControl w:val="0"/>
        <w:spacing w:line="276" w:lineRule="auto"/>
        <w:ind w:firstLine="851"/>
        <w:jc w:val="both"/>
        <w:rPr>
          <w:kern w:val="24"/>
          <w:lang w:val="uk-UA"/>
        </w:rPr>
      </w:pPr>
      <w:r w:rsidRPr="007D4E50">
        <w:rPr>
          <w:kern w:val="24"/>
          <w:lang w:val="uk-UA"/>
        </w:rPr>
        <w:t>В 2016 р.                            -  713,5тис. грн.</w:t>
      </w:r>
    </w:p>
    <w:p w:rsidR="008F52DA" w:rsidRPr="007D4E50" w:rsidRDefault="008F52DA" w:rsidP="00066969">
      <w:pPr>
        <w:widowControl w:val="0"/>
        <w:spacing w:line="276" w:lineRule="auto"/>
        <w:ind w:firstLine="851"/>
        <w:jc w:val="both"/>
        <w:rPr>
          <w:kern w:val="24"/>
          <w:lang w:val="uk-UA"/>
        </w:rPr>
      </w:pPr>
      <w:r w:rsidRPr="007D4E50">
        <w:rPr>
          <w:kern w:val="24"/>
          <w:lang w:val="uk-UA"/>
        </w:rPr>
        <w:t>В 2017 р.                            -  748,9тис. грн.</w:t>
      </w:r>
    </w:p>
    <w:p w:rsidR="008F52DA" w:rsidRPr="007D4E50" w:rsidRDefault="008F52DA" w:rsidP="00066969">
      <w:pPr>
        <w:widowControl w:val="0"/>
        <w:spacing w:line="276" w:lineRule="auto"/>
        <w:ind w:firstLine="851"/>
        <w:jc w:val="both"/>
        <w:rPr>
          <w:kern w:val="24"/>
          <w:lang w:val="uk-UA"/>
        </w:rPr>
      </w:pPr>
      <w:r w:rsidRPr="007D4E50">
        <w:rPr>
          <w:kern w:val="24"/>
          <w:lang w:val="uk-UA"/>
        </w:rPr>
        <w:t>В 2018 р. (10 міс.)             -  654,9тис. грн.</w:t>
      </w:r>
    </w:p>
    <w:p w:rsidR="008F52DA" w:rsidRPr="007D4E50" w:rsidRDefault="008F52DA" w:rsidP="00066969">
      <w:pPr>
        <w:spacing w:line="276" w:lineRule="auto"/>
        <w:ind w:firstLine="851"/>
        <w:jc w:val="both"/>
        <w:rPr>
          <w:lang w:val="uk-UA"/>
        </w:rPr>
      </w:pPr>
    </w:p>
    <w:p w:rsidR="008F52DA" w:rsidRPr="007D4E50" w:rsidRDefault="008F52DA" w:rsidP="00066969">
      <w:pPr>
        <w:widowControl w:val="0"/>
        <w:spacing w:line="276" w:lineRule="auto"/>
        <w:ind w:firstLine="851"/>
        <w:jc w:val="both"/>
        <w:rPr>
          <w:kern w:val="24"/>
          <w:lang w:val="uk-UA"/>
        </w:rPr>
      </w:pPr>
      <w:r w:rsidRPr="007D4E50">
        <w:rPr>
          <w:kern w:val="24"/>
          <w:lang w:val="uk-UA"/>
        </w:rPr>
        <w:t>Протягом 10 місяців 2018 року управлінням було розміщено рекламу 77 заходів на умовах соціальної реклами.</w:t>
      </w:r>
    </w:p>
    <w:p w:rsidR="008F52DA" w:rsidRPr="007D4E50" w:rsidRDefault="008F52DA" w:rsidP="00066969">
      <w:pPr>
        <w:widowControl w:val="0"/>
        <w:spacing w:line="360" w:lineRule="auto"/>
        <w:ind w:firstLine="851"/>
        <w:jc w:val="right"/>
        <w:rPr>
          <w:kern w:val="24"/>
          <w:lang w:val="uk-UA"/>
        </w:rPr>
      </w:pPr>
      <w:r w:rsidRPr="007D4E50">
        <w:rPr>
          <w:kern w:val="24"/>
          <w:lang w:val="uk-UA"/>
        </w:rPr>
        <w:t>Таблиця 3</w:t>
      </w:r>
    </w:p>
    <w:p w:rsidR="008F52DA" w:rsidRPr="007D4E50" w:rsidRDefault="008F52DA" w:rsidP="00066969">
      <w:pPr>
        <w:widowControl w:val="0"/>
        <w:spacing w:line="360" w:lineRule="auto"/>
        <w:ind w:firstLine="851"/>
        <w:jc w:val="center"/>
        <w:rPr>
          <w:b/>
          <w:kern w:val="24"/>
          <w:lang w:val="uk-UA"/>
        </w:rPr>
      </w:pPr>
      <w:r w:rsidRPr="007D4E50">
        <w:rPr>
          <w:b/>
          <w:kern w:val="24"/>
          <w:lang w:val="uk-UA"/>
        </w:rPr>
        <w:t>Динаміка розміщення соціальної реклами, од.</w:t>
      </w:r>
    </w:p>
    <w:tbl>
      <w:tblPr>
        <w:tblStyle w:val="a7"/>
        <w:tblW w:w="0" w:type="auto"/>
        <w:jc w:val="center"/>
        <w:tblLook w:val="04A0"/>
      </w:tblPr>
      <w:tblGrid>
        <w:gridCol w:w="3209"/>
        <w:gridCol w:w="3210"/>
        <w:gridCol w:w="3210"/>
      </w:tblGrid>
      <w:tr w:rsidR="008F52DA" w:rsidRPr="007D4E50" w:rsidTr="00066969">
        <w:trPr>
          <w:jc w:val="center"/>
        </w:trPr>
        <w:tc>
          <w:tcPr>
            <w:tcW w:w="3209" w:type="dxa"/>
            <w:vAlign w:val="center"/>
          </w:tcPr>
          <w:p w:rsidR="008F52DA" w:rsidRPr="007D4E50" w:rsidRDefault="008F52DA" w:rsidP="00066969">
            <w:pPr>
              <w:widowControl w:val="0"/>
              <w:spacing w:line="276" w:lineRule="auto"/>
              <w:jc w:val="center"/>
              <w:rPr>
                <w:b/>
                <w:kern w:val="24"/>
                <w:lang w:val="uk-UA"/>
              </w:rPr>
            </w:pPr>
            <w:r w:rsidRPr="007D4E50">
              <w:rPr>
                <w:b/>
                <w:kern w:val="24"/>
                <w:lang w:val="uk-UA"/>
              </w:rPr>
              <w:t>2016</w:t>
            </w:r>
          </w:p>
        </w:tc>
        <w:tc>
          <w:tcPr>
            <w:tcW w:w="3210" w:type="dxa"/>
            <w:vAlign w:val="center"/>
          </w:tcPr>
          <w:p w:rsidR="008F52DA" w:rsidRPr="007D4E50" w:rsidRDefault="008F52DA" w:rsidP="00066969">
            <w:pPr>
              <w:widowControl w:val="0"/>
              <w:spacing w:line="276" w:lineRule="auto"/>
              <w:jc w:val="center"/>
              <w:rPr>
                <w:b/>
                <w:kern w:val="24"/>
                <w:lang w:val="uk-UA"/>
              </w:rPr>
            </w:pPr>
            <w:r w:rsidRPr="007D4E50">
              <w:rPr>
                <w:b/>
                <w:kern w:val="24"/>
                <w:lang w:val="uk-UA"/>
              </w:rPr>
              <w:t>2017</w:t>
            </w:r>
          </w:p>
        </w:tc>
        <w:tc>
          <w:tcPr>
            <w:tcW w:w="3210" w:type="dxa"/>
            <w:vAlign w:val="center"/>
          </w:tcPr>
          <w:p w:rsidR="008F52DA" w:rsidRPr="007D4E50" w:rsidRDefault="008F52DA" w:rsidP="00066969">
            <w:pPr>
              <w:widowControl w:val="0"/>
              <w:spacing w:line="276" w:lineRule="auto"/>
              <w:jc w:val="center"/>
              <w:rPr>
                <w:b/>
                <w:kern w:val="24"/>
                <w:lang w:val="uk-UA"/>
              </w:rPr>
            </w:pPr>
            <w:r w:rsidRPr="007D4E50">
              <w:rPr>
                <w:b/>
                <w:kern w:val="24"/>
                <w:lang w:val="uk-UA"/>
              </w:rPr>
              <w:t>2018 (прогноз)</w:t>
            </w:r>
          </w:p>
        </w:tc>
      </w:tr>
      <w:tr w:rsidR="008F52DA" w:rsidRPr="007D4E50" w:rsidTr="00066969">
        <w:trPr>
          <w:jc w:val="center"/>
        </w:trPr>
        <w:tc>
          <w:tcPr>
            <w:tcW w:w="3209" w:type="dxa"/>
            <w:vAlign w:val="center"/>
          </w:tcPr>
          <w:p w:rsidR="008F52DA" w:rsidRPr="007D4E50" w:rsidRDefault="008F52DA" w:rsidP="00066969">
            <w:pPr>
              <w:widowControl w:val="0"/>
              <w:spacing w:line="276" w:lineRule="auto"/>
              <w:jc w:val="center"/>
              <w:rPr>
                <w:kern w:val="24"/>
                <w:lang w:val="uk-UA"/>
              </w:rPr>
            </w:pPr>
            <w:r w:rsidRPr="007D4E50">
              <w:rPr>
                <w:kern w:val="24"/>
                <w:lang w:val="uk-UA"/>
              </w:rPr>
              <w:t>85</w:t>
            </w:r>
          </w:p>
        </w:tc>
        <w:tc>
          <w:tcPr>
            <w:tcW w:w="3210" w:type="dxa"/>
            <w:vAlign w:val="center"/>
          </w:tcPr>
          <w:p w:rsidR="008F52DA" w:rsidRPr="007D4E50" w:rsidRDefault="008F52DA" w:rsidP="00066969">
            <w:pPr>
              <w:widowControl w:val="0"/>
              <w:spacing w:line="276" w:lineRule="auto"/>
              <w:jc w:val="center"/>
              <w:rPr>
                <w:kern w:val="24"/>
                <w:lang w:val="uk-UA"/>
              </w:rPr>
            </w:pPr>
            <w:r w:rsidRPr="007D4E50">
              <w:rPr>
                <w:kern w:val="24"/>
                <w:lang w:val="uk-UA"/>
              </w:rPr>
              <w:t>89</w:t>
            </w:r>
          </w:p>
        </w:tc>
        <w:tc>
          <w:tcPr>
            <w:tcW w:w="3210" w:type="dxa"/>
            <w:vAlign w:val="center"/>
          </w:tcPr>
          <w:p w:rsidR="008F52DA" w:rsidRPr="007D4E50" w:rsidRDefault="008F52DA" w:rsidP="00066969">
            <w:pPr>
              <w:widowControl w:val="0"/>
              <w:spacing w:line="276" w:lineRule="auto"/>
              <w:jc w:val="center"/>
              <w:rPr>
                <w:kern w:val="24"/>
                <w:lang w:val="uk-UA"/>
              </w:rPr>
            </w:pPr>
            <w:r w:rsidRPr="007D4E50">
              <w:rPr>
                <w:kern w:val="24"/>
                <w:lang w:val="uk-UA"/>
              </w:rPr>
              <w:t>95</w:t>
            </w:r>
          </w:p>
        </w:tc>
      </w:tr>
    </w:tbl>
    <w:p w:rsidR="008F52DA" w:rsidRPr="007D4E50" w:rsidRDefault="008F52DA" w:rsidP="00066969">
      <w:pPr>
        <w:widowControl w:val="0"/>
        <w:spacing w:line="276" w:lineRule="auto"/>
        <w:ind w:firstLine="851"/>
        <w:jc w:val="both"/>
        <w:rPr>
          <w:kern w:val="24"/>
          <w:lang w:val="uk-UA"/>
        </w:rPr>
      </w:pPr>
      <w:r w:rsidRPr="007D4E50">
        <w:rPr>
          <w:kern w:val="24"/>
          <w:lang w:val="uk-UA"/>
        </w:rPr>
        <w:t xml:space="preserve">Отже, внаслідок реалізації заходів Програми протягом 2016-2018 років збільшилася кількість партнерських міст на 3 одиниці, на 20% зросла кількість міжнародних заходів, на 24% зросла кількість іноземних (офіційних) гостей міста, на 34% зросла кількість туристів. </w:t>
      </w:r>
    </w:p>
    <w:p w:rsidR="008F52DA" w:rsidRPr="007D4E50" w:rsidRDefault="008F52DA" w:rsidP="00066969">
      <w:pPr>
        <w:widowControl w:val="0"/>
        <w:spacing w:line="276" w:lineRule="auto"/>
        <w:ind w:firstLine="851"/>
        <w:jc w:val="both"/>
        <w:rPr>
          <w:kern w:val="24"/>
          <w:lang w:val="uk-UA"/>
        </w:rPr>
      </w:pPr>
    </w:p>
    <w:p w:rsidR="008F52DA" w:rsidRPr="007D4E50" w:rsidRDefault="008F52DA" w:rsidP="00066969">
      <w:pPr>
        <w:widowControl w:val="0"/>
        <w:spacing w:line="276" w:lineRule="auto"/>
        <w:ind w:firstLine="851"/>
        <w:jc w:val="center"/>
        <w:rPr>
          <w:b/>
          <w:lang w:val="uk-UA"/>
        </w:rPr>
      </w:pPr>
      <w:r w:rsidRPr="007D4E50">
        <w:rPr>
          <w:b/>
          <w:kern w:val="24"/>
          <w:lang w:val="uk-UA"/>
        </w:rPr>
        <w:t>4. Інвестиційна діяльність</w:t>
      </w:r>
    </w:p>
    <w:p w:rsidR="008F52DA" w:rsidRPr="007D4E50" w:rsidRDefault="008F52DA" w:rsidP="00066969">
      <w:pPr>
        <w:pStyle w:val="13"/>
        <w:widowControl w:val="0"/>
        <w:spacing w:after="0"/>
        <w:ind w:left="0" w:firstLine="851"/>
        <w:jc w:val="both"/>
        <w:rPr>
          <w:rFonts w:ascii="Times New Roman" w:hAnsi="Times New Roman" w:cs="Times New Roman"/>
          <w:sz w:val="24"/>
          <w:szCs w:val="24"/>
          <w:lang w:val="uk-UA"/>
        </w:rPr>
      </w:pPr>
      <w:r w:rsidRPr="007D4E50">
        <w:rPr>
          <w:rFonts w:ascii="Times New Roman" w:hAnsi="Times New Roman" w:cs="Times New Roman"/>
          <w:sz w:val="24"/>
          <w:szCs w:val="24"/>
          <w:lang w:val="uk-UA"/>
        </w:rPr>
        <w:t>За 2018 рік були реалізовані або знаходяться на завершальній стадії реалізації такі інвестиційні проекти:</w:t>
      </w:r>
    </w:p>
    <w:p w:rsidR="008F52DA" w:rsidRPr="007D4E50" w:rsidRDefault="008F52DA" w:rsidP="00066969">
      <w:pPr>
        <w:pStyle w:val="13"/>
        <w:widowControl w:val="0"/>
        <w:spacing w:after="0"/>
        <w:ind w:left="0" w:firstLine="851"/>
        <w:jc w:val="both"/>
        <w:rPr>
          <w:rFonts w:ascii="Times New Roman" w:hAnsi="Times New Roman" w:cs="Times New Roman"/>
          <w:sz w:val="24"/>
          <w:szCs w:val="24"/>
          <w:lang w:val="uk-UA"/>
        </w:rPr>
      </w:pPr>
      <w:r w:rsidRPr="007D4E50">
        <w:rPr>
          <w:rFonts w:ascii="Times New Roman" w:hAnsi="Times New Roman" w:cs="Times New Roman"/>
          <w:sz w:val="24"/>
          <w:szCs w:val="24"/>
          <w:lang w:val="uk-UA"/>
        </w:rPr>
        <w:t>1) Облаштування тенісних кортів на території парку Національного відродження.</w:t>
      </w:r>
    </w:p>
    <w:p w:rsidR="008F52DA" w:rsidRPr="007D4E50" w:rsidRDefault="008F52DA" w:rsidP="00066969">
      <w:pPr>
        <w:spacing w:line="276" w:lineRule="auto"/>
        <w:ind w:firstLine="851"/>
        <w:jc w:val="both"/>
        <w:rPr>
          <w:rFonts w:eastAsia="Arial Unicode MS"/>
          <w:kern w:val="1"/>
          <w:lang w:val="uk-UA" w:eastAsia="ar-SA"/>
        </w:rPr>
      </w:pPr>
      <w:r w:rsidRPr="007D4E50">
        <w:rPr>
          <w:lang w:val="uk-UA"/>
        </w:rPr>
        <w:t xml:space="preserve">2) </w:t>
      </w:r>
      <w:r w:rsidRPr="007D4E50">
        <w:rPr>
          <w:rFonts w:eastAsia="Arial Unicode MS"/>
          <w:kern w:val="1"/>
          <w:lang w:val="uk-UA" w:eastAsia="ar-SA"/>
        </w:rPr>
        <w:t>Будівництво та облаштування торгово-офісних приміщень, вул. Живова.</w:t>
      </w:r>
    </w:p>
    <w:p w:rsidR="008F52DA" w:rsidRPr="007D4E50" w:rsidRDefault="008F52DA" w:rsidP="00066969">
      <w:pPr>
        <w:spacing w:line="276" w:lineRule="auto"/>
        <w:ind w:firstLine="851"/>
        <w:jc w:val="both"/>
        <w:rPr>
          <w:rFonts w:eastAsia="Arial Unicode MS"/>
          <w:kern w:val="1"/>
          <w:lang w:val="uk-UA" w:eastAsia="ar-SA"/>
        </w:rPr>
      </w:pPr>
      <w:r w:rsidRPr="007D4E50">
        <w:rPr>
          <w:rFonts w:eastAsia="Arial Unicode MS"/>
          <w:kern w:val="1"/>
          <w:lang w:val="uk-UA" w:eastAsia="ar-SA"/>
        </w:rPr>
        <w:t>3) Будівництво закладу громадського харчування з розвинутою інфраструктурою та організацією обслуговування клієнтів на автомобілях за адресою: м. Тернопіль, Майдан Перемоги (McDonalds).</w:t>
      </w:r>
    </w:p>
    <w:p w:rsidR="008F52DA" w:rsidRPr="007D4E50" w:rsidRDefault="008F52DA" w:rsidP="00066969">
      <w:pPr>
        <w:spacing w:line="276" w:lineRule="auto"/>
        <w:ind w:firstLine="851"/>
        <w:jc w:val="right"/>
        <w:rPr>
          <w:rFonts w:eastAsia="Arial Unicode MS"/>
          <w:kern w:val="1"/>
          <w:lang w:val="uk-UA" w:eastAsia="ar-SA"/>
        </w:rPr>
      </w:pPr>
      <w:r w:rsidRPr="007D4E50">
        <w:rPr>
          <w:rFonts w:eastAsia="Arial Unicode MS"/>
          <w:kern w:val="1"/>
          <w:lang w:val="uk-UA" w:eastAsia="ar-SA"/>
        </w:rPr>
        <w:t>Таблиця 4</w:t>
      </w:r>
    </w:p>
    <w:tbl>
      <w:tblPr>
        <w:tblStyle w:val="a7"/>
        <w:tblW w:w="0" w:type="auto"/>
        <w:jc w:val="center"/>
        <w:tblLook w:val="04A0"/>
      </w:tblPr>
      <w:tblGrid>
        <w:gridCol w:w="3209"/>
        <w:gridCol w:w="3210"/>
        <w:gridCol w:w="3210"/>
      </w:tblGrid>
      <w:tr w:rsidR="008F52DA" w:rsidRPr="007D4E50" w:rsidTr="00066969">
        <w:trPr>
          <w:jc w:val="center"/>
        </w:trPr>
        <w:tc>
          <w:tcPr>
            <w:tcW w:w="3209" w:type="dxa"/>
            <w:vAlign w:val="center"/>
          </w:tcPr>
          <w:p w:rsidR="008F52DA" w:rsidRPr="007D4E50" w:rsidRDefault="008F52DA" w:rsidP="00066969">
            <w:pPr>
              <w:spacing w:line="276" w:lineRule="auto"/>
              <w:jc w:val="center"/>
              <w:rPr>
                <w:rFonts w:eastAsia="Arial Unicode MS"/>
                <w:kern w:val="1"/>
                <w:lang w:val="uk-UA" w:eastAsia="ar-SA"/>
              </w:rPr>
            </w:pPr>
          </w:p>
        </w:tc>
        <w:tc>
          <w:tcPr>
            <w:tcW w:w="3210" w:type="dxa"/>
            <w:vAlign w:val="center"/>
          </w:tcPr>
          <w:p w:rsidR="008F52DA" w:rsidRPr="007D4E50" w:rsidRDefault="008F52DA" w:rsidP="00066969">
            <w:pPr>
              <w:spacing w:line="276" w:lineRule="auto"/>
              <w:jc w:val="center"/>
              <w:rPr>
                <w:rFonts w:eastAsia="Arial Unicode MS"/>
                <w:b/>
                <w:kern w:val="1"/>
                <w:lang w:val="uk-UA" w:eastAsia="ar-SA"/>
              </w:rPr>
            </w:pPr>
            <w:r w:rsidRPr="007D4E50">
              <w:rPr>
                <w:rFonts w:eastAsia="Arial Unicode MS"/>
                <w:b/>
                <w:kern w:val="1"/>
                <w:lang w:val="uk-UA" w:eastAsia="ar-SA"/>
              </w:rPr>
              <w:t>2017</w:t>
            </w:r>
          </w:p>
        </w:tc>
        <w:tc>
          <w:tcPr>
            <w:tcW w:w="3210" w:type="dxa"/>
            <w:vAlign w:val="center"/>
          </w:tcPr>
          <w:p w:rsidR="008F52DA" w:rsidRPr="007D4E50" w:rsidRDefault="008F52DA" w:rsidP="00066969">
            <w:pPr>
              <w:spacing w:line="276" w:lineRule="auto"/>
              <w:jc w:val="center"/>
              <w:rPr>
                <w:rFonts w:eastAsia="Arial Unicode MS"/>
                <w:b/>
                <w:kern w:val="1"/>
                <w:lang w:val="uk-UA" w:eastAsia="ar-SA"/>
              </w:rPr>
            </w:pPr>
            <w:r w:rsidRPr="007D4E50">
              <w:rPr>
                <w:rFonts w:eastAsia="Arial Unicode MS"/>
                <w:b/>
                <w:kern w:val="1"/>
                <w:lang w:val="uk-UA" w:eastAsia="ar-SA"/>
              </w:rPr>
              <w:t>2018</w:t>
            </w:r>
          </w:p>
        </w:tc>
      </w:tr>
      <w:tr w:rsidR="008F52DA" w:rsidRPr="007D4E50" w:rsidTr="00066969">
        <w:trPr>
          <w:jc w:val="center"/>
        </w:trPr>
        <w:tc>
          <w:tcPr>
            <w:tcW w:w="3209" w:type="dxa"/>
            <w:vAlign w:val="center"/>
          </w:tcPr>
          <w:p w:rsidR="008F52DA" w:rsidRPr="007D4E50" w:rsidRDefault="008F52DA" w:rsidP="00066969">
            <w:pPr>
              <w:spacing w:line="276" w:lineRule="auto"/>
              <w:jc w:val="center"/>
              <w:rPr>
                <w:rFonts w:eastAsia="Arial Unicode MS"/>
                <w:kern w:val="1"/>
                <w:lang w:val="uk-UA" w:eastAsia="ar-SA"/>
              </w:rPr>
            </w:pPr>
            <w:r w:rsidRPr="007D4E50">
              <w:rPr>
                <w:rFonts w:eastAsia="Arial Unicode MS"/>
                <w:kern w:val="1"/>
                <w:lang w:val="uk-UA" w:eastAsia="ar-SA"/>
              </w:rPr>
              <w:t>Реалізовано інвестиційних проектів</w:t>
            </w:r>
          </w:p>
        </w:tc>
        <w:tc>
          <w:tcPr>
            <w:tcW w:w="3210" w:type="dxa"/>
            <w:vAlign w:val="center"/>
          </w:tcPr>
          <w:p w:rsidR="008F52DA" w:rsidRPr="007D4E50" w:rsidRDefault="008F52DA" w:rsidP="00066969">
            <w:pPr>
              <w:spacing w:line="276" w:lineRule="auto"/>
              <w:jc w:val="center"/>
              <w:rPr>
                <w:rFonts w:eastAsia="Arial Unicode MS"/>
                <w:kern w:val="1"/>
                <w:lang w:val="uk-UA" w:eastAsia="ar-SA"/>
              </w:rPr>
            </w:pPr>
            <w:r w:rsidRPr="007D4E50">
              <w:rPr>
                <w:rFonts w:eastAsia="Arial Unicode MS"/>
                <w:kern w:val="1"/>
                <w:lang w:val="uk-UA" w:eastAsia="ar-SA"/>
              </w:rPr>
              <w:t>5</w:t>
            </w:r>
          </w:p>
        </w:tc>
        <w:tc>
          <w:tcPr>
            <w:tcW w:w="3210" w:type="dxa"/>
            <w:vAlign w:val="center"/>
          </w:tcPr>
          <w:p w:rsidR="008F52DA" w:rsidRPr="007D4E50" w:rsidRDefault="008F52DA" w:rsidP="00066969">
            <w:pPr>
              <w:spacing w:line="276" w:lineRule="auto"/>
              <w:jc w:val="center"/>
              <w:rPr>
                <w:rFonts w:eastAsia="Arial Unicode MS"/>
                <w:kern w:val="1"/>
                <w:lang w:val="uk-UA" w:eastAsia="ar-SA"/>
              </w:rPr>
            </w:pPr>
            <w:r w:rsidRPr="007D4E50">
              <w:rPr>
                <w:rFonts w:eastAsia="Arial Unicode MS"/>
                <w:kern w:val="1"/>
                <w:lang w:val="uk-UA" w:eastAsia="ar-SA"/>
              </w:rPr>
              <w:t>3</w:t>
            </w:r>
          </w:p>
        </w:tc>
      </w:tr>
      <w:tr w:rsidR="008F52DA" w:rsidRPr="007D4E50" w:rsidTr="00066969">
        <w:trPr>
          <w:jc w:val="center"/>
        </w:trPr>
        <w:tc>
          <w:tcPr>
            <w:tcW w:w="3209" w:type="dxa"/>
            <w:vAlign w:val="center"/>
          </w:tcPr>
          <w:p w:rsidR="008F52DA" w:rsidRPr="007D4E50" w:rsidRDefault="008F52DA" w:rsidP="00066969">
            <w:pPr>
              <w:spacing w:line="276" w:lineRule="auto"/>
              <w:jc w:val="center"/>
              <w:rPr>
                <w:rFonts w:eastAsia="Arial Unicode MS"/>
                <w:kern w:val="1"/>
                <w:lang w:val="uk-UA" w:eastAsia="ar-SA"/>
              </w:rPr>
            </w:pPr>
            <w:r w:rsidRPr="007D4E50">
              <w:rPr>
                <w:rFonts w:eastAsia="Arial Unicode MS"/>
                <w:kern w:val="1"/>
                <w:lang w:val="uk-UA" w:eastAsia="ar-SA"/>
              </w:rPr>
              <w:t>Доповнено перелік інвестиційно привабливих об’єктів</w:t>
            </w:r>
          </w:p>
        </w:tc>
        <w:tc>
          <w:tcPr>
            <w:tcW w:w="3210" w:type="dxa"/>
            <w:vAlign w:val="center"/>
          </w:tcPr>
          <w:p w:rsidR="008F52DA" w:rsidRPr="007D4E50" w:rsidRDefault="008F52DA" w:rsidP="00066969">
            <w:pPr>
              <w:spacing w:line="276" w:lineRule="auto"/>
              <w:jc w:val="center"/>
              <w:rPr>
                <w:rFonts w:eastAsia="Arial Unicode MS"/>
                <w:kern w:val="1"/>
                <w:lang w:val="uk-UA" w:eastAsia="ar-SA"/>
              </w:rPr>
            </w:pPr>
            <w:r w:rsidRPr="007D4E50">
              <w:rPr>
                <w:rFonts w:eastAsia="Arial Unicode MS"/>
                <w:kern w:val="1"/>
                <w:lang w:val="uk-UA" w:eastAsia="ar-SA"/>
              </w:rPr>
              <w:t>10</w:t>
            </w:r>
          </w:p>
        </w:tc>
        <w:tc>
          <w:tcPr>
            <w:tcW w:w="3210" w:type="dxa"/>
            <w:vAlign w:val="center"/>
          </w:tcPr>
          <w:p w:rsidR="008F52DA" w:rsidRPr="007D4E50" w:rsidRDefault="008F52DA" w:rsidP="00066969">
            <w:pPr>
              <w:spacing w:line="276" w:lineRule="auto"/>
              <w:jc w:val="center"/>
              <w:rPr>
                <w:rFonts w:eastAsia="Arial Unicode MS"/>
                <w:kern w:val="1"/>
                <w:lang w:val="uk-UA" w:eastAsia="ar-SA"/>
              </w:rPr>
            </w:pPr>
            <w:r w:rsidRPr="007D4E50">
              <w:rPr>
                <w:rFonts w:eastAsia="Arial Unicode MS"/>
                <w:kern w:val="1"/>
                <w:lang w:val="uk-UA" w:eastAsia="ar-SA"/>
              </w:rPr>
              <w:t>7</w:t>
            </w:r>
          </w:p>
        </w:tc>
      </w:tr>
    </w:tbl>
    <w:p w:rsidR="008F52DA" w:rsidRDefault="008F52DA" w:rsidP="00066969">
      <w:pPr>
        <w:spacing w:line="276" w:lineRule="auto"/>
        <w:ind w:firstLine="851"/>
        <w:jc w:val="both"/>
        <w:rPr>
          <w:rFonts w:eastAsia="Arial Unicode MS"/>
          <w:kern w:val="1"/>
          <w:lang w:val="uk-UA" w:eastAsia="ar-SA"/>
        </w:rPr>
      </w:pPr>
    </w:p>
    <w:p w:rsidR="008F52DA" w:rsidRPr="007D4E50" w:rsidRDefault="008F52DA" w:rsidP="00066969">
      <w:pPr>
        <w:spacing w:line="276" w:lineRule="auto"/>
        <w:ind w:firstLine="851"/>
        <w:jc w:val="both"/>
        <w:rPr>
          <w:rFonts w:eastAsia="Arial Unicode MS"/>
          <w:kern w:val="1"/>
          <w:lang w:val="uk-UA" w:eastAsia="ar-SA"/>
        </w:rPr>
      </w:pPr>
      <w:r w:rsidRPr="007D4E50">
        <w:rPr>
          <w:rFonts w:eastAsia="Arial Unicode MS"/>
          <w:kern w:val="1"/>
          <w:lang w:val="uk-UA" w:eastAsia="ar-SA"/>
        </w:rPr>
        <w:t>Підписано ряд нових інвестиційних договорів щодо будівництва та обслуговування багатоквартирного житлового будинку по вул. Спортивна, вул. Текстильна.</w:t>
      </w:r>
    </w:p>
    <w:p w:rsidR="008F52DA" w:rsidRPr="007D4E50" w:rsidRDefault="008F52DA" w:rsidP="00066969">
      <w:pPr>
        <w:spacing w:line="276" w:lineRule="auto"/>
        <w:ind w:firstLine="851"/>
        <w:jc w:val="both"/>
        <w:rPr>
          <w:rFonts w:eastAsia="Arial Unicode MS"/>
          <w:kern w:val="1"/>
          <w:lang w:val="uk-UA" w:eastAsia="ar-SA"/>
        </w:rPr>
      </w:pPr>
      <w:r w:rsidRPr="007D4E50">
        <w:rPr>
          <w:rFonts w:eastAsia="Arial Unicode MS"/>
          <w:kern w:val="1"/>
          <w:lang w:val="uk-UA" w:eastAsia="ar-SA"/>
        </w:rPr>
        <w:t xml:space="preserve">Рейтинги інвестиційної привабливості (рис. 6) та кредитний рейтинг (рис. 7) продовжують знаходитися на високому рівні. </w:t>
      </w:r>
    </w:p>
    <w:p w:rsidR="008F52DA" w:rsidRPr="007D4E50" w:rsidRDefault="008F52DA" w:rsidP="00066969">
      <w:pPr>
        <w:spacing w:line="276" w:lineRule="auto"/>
        <w:ind w:firstLine="851"/>
        <w:jc w:val="both"/>
        <w:rPr>
          <w:rFonts w:eastAsia="Arial Unicode MS"/>
          <w:kern w:val="1"/>
          <w:lang w:val="uk-UA" w:eastAsia="ar-SA"/>
        </w:rPr>
      </w:pPr>
    </w:p>
    <w:p w:rsidR="008F52DA" w:rsidRPr="007D4E50" w:rsidRDefault="008F52DA" w:rsidP="00066969">
      <w:pPr>
        <w:spacing w:line="276" w:lineRule="auto"/>
        <w:jc w:val="both"/>
        <w:rPr>
          <w:rFonts w:eastAsia="Arial Unicode MS"/>
          <w:kern w:val="1"/>
          <w:lang w:val="uk-UA" w:eastAsia="ar-SA"/>
        </w:rPr>
      </w:pPr>
      <w:r w:rsidRPr="007D4E50">
        <w:rPr>
          <w:noProof/>
          <w:lang w:val="uk-UA" w:eastAsia="uk-UA"/>
        </w:rPr>
        <w:drawing>
          <wp:inline distT="0" distB="0" distL="0" distR="0">
            <wp:extent cx="6120765" cy="2642870"/>
            <wp:effectExtent l="0" t="0" r="0" b="508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11">
                              <a14:imgEffect>
                                <a14:sharpenSoften amount="50000"/>
                              </a14:imgEffect>
                            </a14:imgLayer>
                          </a14:imgProps>
                        </a:ext>
                      </a:extLst>
                    </a:blip>
                    <a:stretch>
                      <a:fillRect/>
                    </a:stretch>
                  </pic:blipFill>
                  <pic:spPr>
                    <a:xfrm>
                      <a:off x="0" y="0"/>
                      <a:ext cx="6120765" cy="2642870"/>
                    </a:xfrm>
                    <a:prstGeom prst="rect">
                      <a:avLst/>
                    </a:prstGeom>
                  </pic:spPr>
                </pic:pic>
              </a:graphicData>
            </a:graphic>
          </wp:inline>
        </w:drawing>
      </w:r>
    </w:p>
    <w:p w:rsidR="008F52DA" w:rsidRPr="007D4E50" w:rsidRDefault="008F52DA" w:rsidP="00066969">
      <w:pPr>
        <w:spacing w:line="276" w:lineRule="auto"/>
        <w:ind w:firstLine="851"/>
        <w:jc w:val="center"/>
        <w:rPr>
          <w:rFonts w:eastAsia="Arial Unicode MS"/>
          <w:b/>
          <w:kern w:val="1"/>
          <w:lang w:val="uk-UA" w:eastAsia="ar-SA"/>
        </w:rPr>
      </w:pPr>
      <w:r w:rsidRPr="007D4E50">
        <w:rPr>
          <w:rFonts w:eastAsia="Arial Unicode MS"/>
          <w:b/>
          <w:kern w:val="1"/>
          <w:lang w:val="uk-UA" w:eastAsia="ar-SA"/>
        </w:rPr>
        <w:t>Рис. 6. Динаміка рейтингу інвестиційної привабливості міста</w:t>
      </w:r>
    </w:p>
    <w:p w:rsidR="008F52DA" w:rsidRPr="007D4E50" w:rsidRDefault="008F52DA" w:rsidP="00066969">
      <w:pPr>
        <w:spacing w:line="276" w:lineRule="auto"/>
        <w:ind w:firstLine="851"/>
        <w:jc w:val="center"/>
        <w:rPr>
          <w:rFonts w:eastAsia="Arial Unicode MS"/>
          <w:b/>
          <w:kern w:val="1"/>
          <w:lang w:val="uk-UA" w:eastAsia="ar-SA"/>
        </w:rPr>
      </w:pPr>
    </w:p>
    <w:p w:rsidR="008F52DA" w:rsidRPr="007D4E50" w:rsidRDefault="008F52DA" w:rsidP="00066969">
      <w:pPr>
        <w:spacing w:line="276" w:lineRule="auto"/>
        <w:jc w:val="center"/>
        <w:rPr>
          <w:rFonts w:eastAsia="Arial Unicode MS"/>
          <w:b/>
          <w:kern w:val="1"/>
          <w:lang w:val="uk-UA" w:eastAsia="ar-SA"/>
        </w:rPr>
      </w:pPr>
      <w:r w:rsidRPr="007D4E50">
        <w:rPr>
          <w:noProof/>
          <w:lang w:val="uk-UA" w:eastAsia="uk-UA"/>
        </w:rPr>
        <w:drawing>
          <wp:inline distT="0" distB="0" distL="0" distR="0">
            <wp:extent cx="6120765" cy="259778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13">
                              <a14:imgEffect>
                                <a14:sharpenSoften amount="50000"/>
                              </a14:imgEffect>
                            </a14:imgLayer>
                          </a14:imgProps>
                        </a:ext>
                      </a:extLst>
                    </a:blip>
                    <a:stretch>
                      <a:fillRect/>
                    </a:stretch>
                  </pic:blipFill>
                  <pic:spPr>
                    <a:xfrm>
                      <a:off x="0" y="0"/>
                      <a:ext cx="6120765" cy="2597785"/>
                    </a:xfrm>
                    <a:prstGeom prst="rect">
                      <a:avLst/>
                    </a:prstGeom>
                  </pic:spPr>
                </pic:pic>
              </a:graphicData>
            </a:graphic>
          </wp:inline>
        </w:drawing>
      </w:r>
    </w:p>
    <w:p w:rsidR="008F52DA" w:rsidRPr="007D4E50" w:rsidRDefault="008F52DA" w:rsidP="00066969">
      <w:pPr>
        <w:pStyle w:val="13"/>
        <w:widowControl w:val="0"/>
        <w:spacing w:after="0" w:line="360" w:lineRule="auto"/>
        <w:ind w:left="0" w:firstLine="851"/>
        <w:jc w:val="center"/>
        <w:rPr>
          <w:rFonts w:ascii="Times New Roman" w:hAnsi="Times New Roman" w:cs="Times New Roman"/>
          <w:b/>
          <w:sz w:val="24"/>
          <w:szCs w:val="24"/>
          <w:lang w:val="uk-UA"/>
        </w:rPr>
      </w:pPr>
      <w:r w:rsidRPr="007D4E50">
        <w:rPr>
          <w:rFonts w:ascii="Times New Roman" w:hAnsi="Times New Roman" w:cs="Times New Roman"/>
          <w:b/>
          <w:sz w:val="24"/>
          <w:szCs w:val="24"/>
          <w:lang w:val="uk-UA"/>
        </w:rPr>
        <w:t>Рис. 7. Динаміка кредитного рейтингу міста</w:t>
      </w:r>
    </w:p>
    <w:p w:rsidR="008F52DA" w:rsidRPr="007D4E50" w:rsidRDefault="008F52DA" w:rsidP="00066969">
      <w:pPr>
        <w:pStyle w:val="13"/>
        <w:widowControl w:val="0"/>
        <w:spacing w:after="0"/>
        <w:ind w:left="0" w:firstLine="851"/>
        <w:jc w:val="both"/>
        <w:rPr>
          <w:rFonts w:ascii="Times New Roman" w:hAnsi="Times New Roman" w:cs="Times New Roman"/>
          <w:sz w:val="24"/>
          <w:szCs w:val="24"/>
          <w:lang w:val="uk-UA"/>
        </w:rPr>
      </w:pPr>
      <w:r w:rsidRPr="007D4E50">
        <w:rPr>
          <w:rFonts w:ascii="Times New Roman" w:hAnsi="Times New Roman" w:cs="Times New Roman"/>
          <w:sz w:val="24"/>
          <w:szCs w:val="24"/>
          <w:lang w:val="uk-UA"/>
        </w:rPr>
        <w:t>Тернопіль продовжує займати перші або лідерські місця в національних та міжнародних рейтингах та конкурсах.</w:t>
      </w:r>
    </w:p>
    <w:p w:rsidR="008F52DA" w:rsidRPr="007D4E50" w:rsidRDefault="008F52DA" w:rsidP="00066969">
      <w:pPr>
        <w:pStyle w:val="13"/>
        <w:widowControl w:val="0"/>
        <w:spacing w:after="0" w:line="360" w:lineRule="auto"/>
        <w:ind w:left="0" w:firstLine="851"/>
        <w:jc w:val="right"/>
        <w:rPr>
          <w:rFonts w:ascii="Times New Roman" w:hAnsi="Times New Roman" w:cs="Times New Roman"/>
          <w:sz w:val="24"/>
          <w:szCs w:val="24"/>
          <w:lang w:val="uk-UA"/>
        </w:rPr>
      </w:pPr>
      <w:r w:rsidRPr="007D4E50">
        <w:rPr>
          <w:rFonts w:ascii="Times New Roman" w:hAnsi="Times New Roman" w:cs="Times New Roman"/>
          <w:sz w:val="24"/>
          <w:szCs w:val="24"/>
          <w:lang w:val="uk-UA"/>
        </w:rPr>
        <w:t>Таблиця 5</w:t>
      </w:r>
    </w:p>
    <w:p w:rsidR="008F52DA" w:rsidRPr="007D4E50" w:rsidRDefault="008F52DA" w:rsidP="00066969">
      <w:pPr>
        <w:pStyle w:val="13"/>
        <w:widowControl w:val="0"/>
        <w:spacing w:after="0" w:line="360" w:lineRule="auto"/>
        <w:ind w:left="0" w:firstLine="851"/>
        <w:jc w:val="center"/>
        <w:rPr>
          <w:rFonts w:ascii="Times New Roman" w:hAnsi="Times New Roman" w:cs="Times New Roman"/>
          <w:b/>
          <w:sz w:val="24"/>
          <w:szCs w:val="24"/>
          <w:lang w:val="uk-UA"/>
        </w:rPr>
      </w:pPr>
      <w:r w:rsidRPr="007D4E50">
        <w:rPr>
          <w:rFonts w:ascii="Times New Roman" w:hAnsi="Times New Roman" w:cs="Times New Roman"/>
          <w:b/>
          <w:sz w:val="24"/>
          <w:szCs w:val="24"/>
          <w:lang w:val="uk-UA"/>
        </w:rPr>
        <w:t>Місце Тернополя у рейтингових оцінюваннях за 2018 рік</w:t>
      </w:r>
    </w:p>
    <w:tbl>
      <w:tblPr>
        <w:tblW w:w="9488" w:type="dxa"/>
        <w:tblInd w:w="-10" w:type="dxa"/>
        <w:tblCellMar>
          <w:left w:w="0" w:type="dxa"/>
          <w:right w:w="0" w:type="dxa"/>
        </w:tblCellMar>
        <w:tblLook w:val="0600"/>
      </w:tblPr>
      <w:tblGrid>
        <w:gridCol w:w="557"/>
        <w:gridCol w:w="7797"/>
        <w:gridCol w:w="1134"/>
      </w:tblGrid>
      <w:tr w:rsidR="008F52DA" w:rsidRPr="00FF6DDF" w:rsidTr="00066969">
        <w:trPr>
          <w:trHeight w:val="58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F52DA" w:rsidRPr="00FF6DDF" w:rsidRDefault="008F52DA" w:rsidP="00066969">
            <w:pPr>
              <w:spacing w:line="276" w:lineRule="auto"/>
              <w:jc w:val="center"/>
              <w:rPr>
                <w:rFonts w:ascii="Arial" w:hAnsi="Arial" w:cs="Arial"/>
                <w:b/>
                <w:lang w:val="uk-UA"/>
              </w:rPr>
            </w:pPr>
            <w:r w:rsidRPr="00FF6DDF">
              <w:rPr>
                <w:b/>
                <w:bCs/>
                <w:color w:val="000000" w:themeColor="text1"/>
                <w:kern w:val="24"/>
                <w:lang w:val="uk-UA"/>
              </w:rPr>
              <w:t>№ п/п</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F52DA" w:rsidRPr="00FF6DDF" w:rsidRDefault="008F52DA" w:rsidP="00066969">
            <w:pPr>
              <w:spacing w:line="276" w:lineRule="auto"/>
              <w:jc w:val="center"/>
              <w:rPr>
                <w:rFonts w:ascii="Arial" w:hAnsi="Arial" w:cs="Arial"/>
                <w:b/>
                <w:lang w:val="uk-UA"/>
              </w:rPr>
            </w:pPr>
            <w:r w:rsidRPr="00FF6DDF">
              <w:rPr>
                <w:b/>
                <w:bCs/>
                <w:color w:val="000000" w:themeColor="text1"/>
                <w:kern w:val="24"/>
                <w:lang w:val="uk-UA"/>
              </w:rPr>
              <w:t>Назва рейтингу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F52DA" w:rsidRPr="00FF6DDF" w:rsidRDefault="008F52DA" w:rsidP="00066969">
            <w:pPr>
              <w:spacing w:line="276" w:lineRule="auto"/>
              <w:jc w:val="center"/>
              <w:rPr>
                <w:rFonts w:ascii="Arial" w:hAnsi="Arial" w:cs="Arial"/>
                <w:b/>
                <w:lang w:val="uk-UA"/>
              </w:rPr>
            </w:pPr>
            <w:r w:rsidRPr="00FF6DDF">
              <w:rPr>
                <w:b/>
                <w:bCs/>
                <w:color w:val="000000" w:themeColor="text1"/>
                <w:kern w:val="24"/>
                <w:lang w:val="uk-UA"/>
              </w:rPr>
              <w:t>Місце</w:t>
            </w:r>
          </w:p>
        </w:tc>
      </w:tr>
      <w:tr w:rsidR="008F52DA" w:rsidRPr="00FF6DDF" w:rsidTr="00066969">
        <w:trPr>
          <w:trHeight w:val="1374"/>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F52DA" w:rsidRPr="00FF6DDF" w:rsidRDefault="008F52DA" w:rsidP="00066969">
            <w:pPr>
              <w:spacing w:line="276" w:lineRule="auto"/>
              <w:jc w:val="center"/>
              <w:rPr>
                <w:rFonts w:ascii="Arial" w:hAnsi="Arial" w:cs="Arial"/>
                <w:lang w:val="uk-UA"/>
              </w:rPr>
            </w:pPr>
            <w:r w:rsidRPr="00FF6DDF">
              <w:rPr>
                <w:bCs/>
                <w:color w:val="000000" w:themeColor="text1"/>
                <w:kern w:val="24"/>
                <w:lang w:val="uk-UA"/>
              </w:rPr>
              <w:t>1</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F52DA" w:rsidRPr="00FF6DDF" w:rsidRDefault="008F52DA" w:rsidP="00066969">
            <w:pPr>
              <w:spacing w:line="276" w:lineRule="auto"/>
              <w:jc w:val="center"/>
              <w:rPr>
                <w:rFonts w:ascii="Arial" w:hAnsi="Arial" w:cs="Arial"/>
                <w:lang w:val="uk-UA"/>
              </w:rPr>
            </w:pPr>
            <w:r w:rsidRPr="00FF6DDF">
              <w:rPr>
                <w:bCs/>
                <w:color w:val="000000" w:themeColor="text1"/>
                <w:kern w:val="24"/>
                <w:lang w:val="uk-UA"/>
              </w:rPr>
              <w:t>«ТОП-10 невеликих європейських міст майбутнього 2018/19 – ефективність витрат» (оцінювання fDiMagazine – англомовне видання, що містить щомісячні новини та огляд глобальної інвестиційної діяльності. fDiMagazine є інформаційним продуктом FinancialTimes)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F52DA" w:rsidRPr="00FF6DDF" w:rsidRDefault="008F52DA" w:rsidP="00066969">
            <w:pPr>
              <w:spacing w:line="276" w:lineRule="auto"/>
              <w:jc w:val="center"/>
              <w:rPr>
                <w:rFonts w:ascii="Arial" w:hAnsi="Arial" w:cs="Arial"/>
                <w:lang w:val="uk-UA"/>
              </w:rPr>
            </w:pPr>
            <w:r w:rsidRPr="00FF6DDF">
              <w:rPr>
                <w:bCs/>
                <w:color w:val="000000" w:themeColor="text1"/>
                <w:kern w:val="24"/>
                <w:lang w:val="uk-UA"/>
              </w:rPr>
              <w:t>7</w:t>
            </w:r>
          </w:p>
        </w:tc>
      </w:tr>
      <w:tr w:rsidR="008F52DA" w:rsidRPr="00FF6DDF" w:rsidTr="00066969">
        <w:trPr>
          <w:trHeight w:val="391"/>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F52DA" w:rsidRPr="00FF6DDF" w:rsidRDefault="008F52DA" w:rsidP="00066969">
            <w:pPr>
              <w:spacing w:line="276" w:lineRule="auto"/>
              <w:jc w:val="center"/>
              <w:rPr>
                <w:rFonts w:ascii="Arial" w:hAnsi="Arial" w:cs="Arial"/>
                <w:lang w:val="uk-UA"/>
              </w:rPr>
            </w:pPr>
            <w:r w:rsidRPr="00FF6DDF">
              <w:rPr>
                <w:bCs/>
                <w:color w:val="000000" w:themeColor="text1"/>
                <w:kern w:val="24"/>
                <w:lang w:val="uk-UA"/>
              </w:rPr>
              <w:t>2</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F52DA" w:rsidRPr="00FF6DDF" w:rsidRDefault="008F52DA" w:rsidP="00066969">
            <w:pPr>
              <w:spacing w:line="276" w:lineRule="auto"/>
              <w:jc w:val="center"/>
              <w:rPr>
                <w:rFonts w:ascii="Arial" w:hAnsi="Arial" w:cs="Arial"/>
                <w:lang w:val="uk-UA"/>
              </w:rPr>
            </w:pPr>
            <w:r w:rsidRPr="00FF6DDF">
              <w:rPr>
                <w:bCs/>
                <w:color w:val="000000" w:themeColor="text1"/>
                <w:kern w:val="24"/>
                <w:lang w:val="uk-UA"/>
              </w:rPr>
              <w:t>«Найкраща транспортна модель міста» (KyivSmartCity Forum’18)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F52DA" w:rsidRPr="00FF6DDF" w:rsidRDefault="008F52DA" w:rsidP="00066969">
            <w:pPr>
              <w:spacing w:line="276" w:lineRule="auto"/>
              <w:jc w:val="center"/>
              <w:rPr>
                <w:rFonts w:ascii="Arial" w:hAnsi="Arial" w:cs="Arial"/>
                <w:lang w:val="uk-UA"/>
              </w:rPr>
            </w:pPr>
            <w:r w:rsidRPr="00FF6DDF">
              <w:rPr>
                <w:bCs/>
                <w:color w:val="000000" w:themeColor="text1"/>
                <w:kern w:val="24"/>
                <w:lang w:val="uk-UA"/>
              </w:rPr>
              <w:t>1</w:t>
            </w:r>
          </w:p>
        </w:tc>
      </w:tr>
      <w:tr w:rsidR="008F52DA" w:rsidRPr="00FF6DDF" w:rsidTr="00066969">
        <w:trPr>
          <w:trHeight w:val="96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F52DA" w:rsidRPr="00FF6DDF" w:rsidRDefault="008F52DA" w:rsidP="00066969">
            <w:pPr>
              <w:spacing w:line="276" w:lineRule="auto"/>
              <w:jc w:val="center"/>
              <w:rPr>
                <w:rFonts w:ascii="Arial" w:hAnsi="Arial" w:cs="Arial"/>
                <w:lang w:val="uk-UA"/>
              </w:rPr>
            </w:pPr>
            <w:r w:rsidRPr="00FF6DDF">
              <w:rPr>
                <w:bCs/>
                <w:color w:val="000000" w:themeColor="text1"/>
                <w:kern w:val="24"/>
                <w:lang w:val="uk-UA"/>
              </w:rPr>
              <w:t>3</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F52DA" w:rsidRPr="00FF6DDF" w:rsidRDefault="008F52DA" w:rsidP="00066969">
            <w:pPr>
              <w:spacing w:line="276" w:lineRule="auto"/>
              <w:jc w:val="center"/>
              <w:rPr>
                <w:rFonts w:ascii="Arial" w:hAnsi="Arial" w:cs="Arial"/>
                <w:lang w:val="uk-UA"/>
              </w:rPr>
            </w:pPr>
            <w:r w:rsidRPr="00FF6DDF">
              <w:rPr>
                <w:bCs/>
                <w:color w:val="000000" w:themeColor="text1"/>
                <w:kern w:val="24"/>
                <w:lang w:val="uk-UA"/>
              </w:rPr>
              <w:t>Рейтинг задоволеності мешканців міста якістю надання 22 сфер та послуг (четверте всеукраїнське муніципальне опитування соціологічною групою «Рейтинг» від імені Міжнародного республіканського інституту)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F52DA" w:rsidRPr="00FF6DDF" w:rsidRDefault="008F52DA" w:rsidP="00066969">
            <w:pPr>
              <w:spacing w:line="276" w:lineRule="auto"/>
              <w:jc w:val="center"/>
              <w:rPr>
                <w:rFonts w:ascii="Arial" w:hAnsi="Arial" w:cs="Arial"/>
                <w:lang w:val="uk-UA"/>
              </w:rPr>
            </w:pPr>
            <w:r w:rsidRPr="00FF6DDF">
              <w:rPr>
                <w:bCs/>
                <w:color w:val="000000" w:themeColor="text1"/>
                <w:kern w:val="24"/>
                <w:lang w:val="uk-UA"/>
              </w:rPr>
              <w:t>4 з 22</w:t>
            </w:r>
          </w:p>
        </w:tc>
      </w:tr>
    </w:tbl>
    <w:p w:rsidR="008F52DA" w:rsidRPr="007D4E50" w:rsidRDefault="008F52DA" w:rsidP="00066969">
      <w:pPr>
        <w:pStyle w:val="13"/>
        <w:widowControl w:val="0"/>
        <w:spacing w:after="0" w:line="360" w:lineRule="auto"/>
        <w:ind w:left="0" w:firstLine="851"/>
        <w:jc w:val="center"/>
        <w:rPr>
          <w:rFonts w:ascii="Times New Roman" w:hAnsi="Times New Roman" w:cs="Times New Roman"/>
          <w:b/>
          <w:sz w:val="24"/>
          <w:szCs w:val="24"/>
          <w:lang w:val="uk-UA"/>
        </w:rPr>
      </w:pPr>
    </w:p>
    <w:p w:rsidR="008F52DA" w:rsidRPr="007D4E50" w:rsidRDefault="008F52DA" w:rsidP="00066969">
      <w:pPr>
        <w:tabs>
          <w:tab w:val="left" w:pos="4132"/>
        </w:tabs>
        <w:spacing w:line="360" w:lineRule="auto"/>
        <w:ind w:firstLine="851"/>
        <w:jc w:val="both"/>
        <w:rPr>
          <w:lang w:val="uk-UA"/>
        </w:rPr>
      </w:pPr>
      <w:r w:rsidRPr="007D4E50">
        <w:rPr>
          <w:lang w:val="uk-UA"/>
        </w:rPr>
        <w:t xml:space="preserve">Взято участь в роботі щодо дослідження національного та іноземного досвіду, збору та аналізі інформації й створення концепції індустріального парку «Тернопіль», а також її презентації та підприємств та бізнес кіл міста. </w:t>
      </w:r>
    </w:p>
    <w:p w:rsidR="008F52DA" w:rsidRPr="007D4E50" w:rsidRDefault="008F52DA" w:rsidP="00066969">
      <w:pPr>
        <w:tabs>
          <w:tab w:val="left" w:pos="4132"/>
        </w:tabs>
        <w:spacing w:line="360" w:lineRule="auto"/>
        <w:ind w:firstLine="851"/>
        <w:jc w:val="center"/>
        <w:rPr>
          <w:lang w:val="uk-UA"/>
        </w:rPr>
      </w:pPr>
    </w:p>
    <w:p w:rsidR="008F52DA" w:rsidRDefault="008F52DA" w:rsidP="00066969">
      <w:pPr>
        <w:tabs>
          <w:tab w:val="left" w:pos="4132"/>
        </w:tabs>
        <w:spacing w:line="360" w:lineRule="auto"/>
        <w:ind w:firstLine="851"/>
        <w:jc w:val="center"/>
        <w:rPr>
          <w:lang w:val="uk-UA"/>
        </w:rPr>
      </w:pPr>
      <w:r w:rsidRPr="007D4E50">
        <w:rPr>
          <w:lang w:val="uk-UA"/>
        </w:rPr>
        <w:t>Начальник управління</w:t>
      </w:r>
      <w:r w:rsidRPr="007D4E50">
        <w:rPr>
          <w:lang w:val="uk-UA"/>
        </w:rPr>
        <w:tab/>
      </w:r>
      <w:r w:rsidRPr="007D4E50">
        <w:rPr>
          <w:lang w:val="uk-UA"/>
        </w:rPr>
        <w:tab/>
      </w:r>
      <w:r w:rsidRPr="007D4E50">
        <w:rPr>
          <w:lang w:val="uk-UA"/>
        </w:rPr>
        <w:tab/>
      </w:r>
      <w:r w:rsidRPr="007D4E50">
        <w:rPr>
          <w:lang w:val="uk-UA"/>
        </w:rPr>
        <w:tab/>
      </w:r>
      <w:r w:rsidRPr="007D4E50">
        <w:rPr>
          <w:lang w:val="uk-UA"/>
        </w:rPr>
        <w:tab/>
      </w:r>
      <w:r w:rsidRPr="007D4E50">
        <w:rPr>
          <w:lang w:val="uk-UA"/>
        </w:rPr>
        <w:tab/>
        <w:t>Ю.П.Дейнека</w:t>
      </w:r>
    </w:p>
    <w:p w:rsidR="008F52DA" w:rsidRDefault="008F52DA" w:rsidP="00066969">
      <w:pPr>
        <w:tabs>
          <w:tab w:val="left" w:pos="4132"/>
        </w:tabs>
        <w:spacing w:line="360" w:lineRule="auto"/>
        <w:ind w:firstLine="851"/>
        <w:jc w:val="center"/>
        <w:rPr>
          <w:lang w:val="uk-UA"/>
        </w:rPr>
      </w:pPr>
    </w:p>
    <w:p w:rsidR="008F52DA" w:rsidRDefault="008F52DA" w:rsidP="00066969">
      <w:pPr>
        <w:tabs>
          <w:tab w:val="left" w:pos="4132"/>
        </w:tabs>
        <w:spacing w:line="360" w:lineRule="auto"/>
        <w:ind w:firstLine="851"/>
        <w:rPr>
          <w:lang w:val="uk-UA"/>
        </w:rPr>
      </w:pPr>
      <w:r>
        <w:rPr>
          <w:lang w:val="uk-UA"/>
        </w:rPr>
        <w:t>Заступник міського голови з питань                                                            В.Є.  Дідич</w:t>
      </w:r>
    </w:p>
    <w:p w:rsidR="008F52DA" w:rsidRDefault="008F52DA" w:rsidP="00066969">
      <w:pPr>
        <w:tabs>
          <w:tab w:val="left" w:pos="4132"/>
        </w:tabs>
        <w:spacing w:line="360" w:lineRule="auto"/>
        <w:ind w:firstLine="851"/>
        <w:rPr>
          <w:lang w:val="uk-UA"/>
        </w:rPr>
      </w:pPr>
      <w:r>
        <w:rPr>
          <w:lang w:val="uk-UA"/>
        </w:rPr>
        <w:t>діяльності виконавчих органів ради</w:t>
      </w:r>
    </w:p>
    <w:p w:rsidR="008F52DA" w:rsidRDefault="008F52DA" w:rsidP="00066969">
      <w:pPr>
        <w:tabs>
          <w:tab w:val="left" w:pos="4132"/>
        </w:tabs>
        <w:spacing w:line="360" w:lineRule="auto"/>
        <w:ind w:firstLine="851"/>
        <w:rPr>
          <w:lang w:val="uk-UA"/>
        </w:rPr>
      </w:pPr>
    </w:p>
    <w:p w:rsidR="008F52DA" w:rsidRPr="007D4E50" w:rsidRDefault="008F52DA" w:rsidP="00066969">
      <w:pPr>
        <w:tabs>
          <w:tab w:val="left" w:pos="4132"/>
        </w:tabs>
        <w:spacing w:line="360" w:lineRule="auto"/>
        <w:ind w:firstLine="851"/>
        <w:rPr>
          <w:lang w:val="uk-UA"/>
        </w:rPr>
      </w:pPr>
      <w:r>
        <w:rPr>
          <w:lang w:val="uk-UA"/>
        </w:rPr>
        <w:t>Міський голова                                                                                               С.В. Надал</w:t>
      </w:r>
    </w:p>
    <w:p w:rsidR="008F52DA" w:rsidRPr="007D4E50" w:rsidRDefault="008F52DA" w:rsidP="00066969">
      <w:pPr>
        <w:spacing w:after="200" w:line="360" w:lineRule="auto"/>
        <w:ind w:firstLine="851"/>
        <w:rPr>
          <w:b/>
          <w:lang w:val="uk-UA"/>
        </w:rPr>
      </w:pPr>
    </w:p>
    <w:sectPr w:rsidR="008F52DA" w:rsidRPr="007D4E50" w:rsidSect="008F52DA">
      <w:pgSz w:w="11906" w:h="16838"/>
      <w:pgMar w:top="851" w:right="84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85">
    <w:charset w:val="CC"/>
    <w:family w:val="auto"/>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0E76"/>
    <w:multiLevelType w:val="hybridMultilevel"/>
    <w:tmpl w:val="9EBC4044"/>
    <w:lvl w:ilvl="0" w:tplc="A314D0E6">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144C22"/>
    <w:multiLevelType w:val="hybridMultilevel"/>
    <w:tmpl w:val="180E1F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65163"/>
    <w:multiLevelType w:val="hybridMultilevel"/>
    <w:tmpl w:val="B106A2A4"/>
    <w:lvl w:ilvl="0" w:tplc="A314D0E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DA703B"/>
    <w:multiLevelType w:val="hybridMultilevel"/>
    <w:tmpl w:val="886283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12620F"/>
    <w:multiLevelType w:val="hybridMultilevel"/>
    <w:tmpl w:val="5308C5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B80520"/>
    <w:multiLevelType w:val="hybridMultilevel"/>
    <w:tmpl w:val="AC667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EB0394"/>
    <w:multiLevelType w:val="hybridMultilevel"/>
    <w:tmpl w:val="D8EA280C"/>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47F3B7D"/>
    <w:multiLevelType w:val="hybridMultilevel"/>
    <w:tmpl w:val="FAEE441C"/>
    <w:lvl w:ilvl="0" w:tplc="89B0C96E">
      <w:start w:val="1"/>
      <w:numFmt w:val="decimal"/>
      <w:lvlText w:val="%1)"/>
      <w:lvlJc w:val="left"/>
      <w:pPr>
        <w:ind w:left="840" w:hanging="360"/>
      </w:pPr>
      <w:rPr>
        <w:rFonts w:eastAsia="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3DC01FFA"/>
    <w:multiLevelType w:val="hybridMultilevel"/>
    <w:tmpl w:val="04B887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9C2EE7"/>
    <w:multiLevelType w:val="hybridMultilevel"/>
    <w:tmpl w:val="829AD1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A1F4D0A"/>
    <w:multiLevelType w:val="hybridMultilevel"/>
    <w:tmpl w:val="C1C63E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E6F3EA8"/>
    <w:multiLevelType w:val="hybridMultilevel"/>
    <w:tmpl w:val="E4C62E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4B20308"/>
    <w:multiLevelType w:val="hybridMultilevel"/>
    <w:tmpl w:val="F1303EA2"/>
    <w:lvl w:ilvl="0" w:tplc="04190011">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3">
    <w:nsid w:val="5D0F43F0"/>
    <w:multiLevelType w:val="hybridMultilevel"/>
    <w:tmpl w:val="EAF09532"/>
    <w:lvl w:ilvl="0" w:tplc="04190011">
      <w:start w:val="1"/>
      <w:numFmt w:val="decimal"/>
      <w:lvlText w:val="%1)"/>
      <w:lvlJc w:val="left"/>
      <w:pPr>
        <w:ind w:left="2428" w:hanging="1005"/>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4">
    <w:nsid w:val="622A3A36"/>
    <w:multiLevelType w:val="hybridMultilevel"/>
    <w:tmpl w:val="EB8034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3D05E35"/>
    <w:multiLevelType w:val="hybridMultilevel"/>
    <w:tmpl w:val="0EB0E8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3EC7EC5"/>
    <w:multiLevelType w:val="hybridMultilevel"/>
    <w:tmpl w:val="D65053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3068BF"/>
    <w:multiLevelType w:val="hybridMultilevel"/>
    <w:tmpl w:val="7FA2D648"/>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
    <w:nsid w:val="7E490AD6"/>
    <w:multiLevelType w:val="hybridMultilevel"/>
    <w:tmpl w:val="EFD8FAF6"/>
    <w:lvl w:ilvl="0" w:tplc="04190011">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9">
    <w:nsid w:val="7FD849EC"/>
    <w:multiLevelType w:val="hybridMultilevel"/>
    <w:tmpl w:val="772429DC"/>
    <w:lvl w:ilvl="0" w:tplc="6DEC643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10"/>
  </w:num>
  <w:num w:numId="5">
    <w:abstractNumId w:val="4"/>
  </w:num>
  <w:num w:numId="6">
    <w:abstractNumId w:val="6"/>
  </w:num>
  <w:num w:numId="7">
    <w:abstractNumId w:val="17"/>
  </w:num>
  <w:num w:numId="8">
    <w:abstractNumId w:val="9"/>
  </w:num>
  <w:num w:numId="9">
    <w:abstractNumId w:val="8"/>
  </w:num>
  <w:num w:numId="10">
    <w:abstractNumId w:val="12"/>
  </w:num>
  <w:num w:numId="11">
    <w:abstractNumId w:val="18"/>
  </w:num>
  <w:num w:numId="12">
    <w:abstractNumId w:val="5"/>
  </w:num>
  <w:num w:numId="13">
    <w:abstractNumId w:val="3"/>
  </w:num>
  <w:num w:numId="14">
    <w:abstractNumId w:val="2"/>
  </w:num>
  <w:num w:numId="15">
    <w:abstractNumId w:val="0"/>
  </w:num>
  <w:num w:numId="16">
    <w:abstractNumId w:val="19"/>
  </w:num>
  <w:num w:numId="17">
    <w:abstractNumId w:val="13"/>
  </w:num>
  <w:num w:numId="18">
    <w:abstractNumId w:val="14"/>
  </w:num>
  <w:num w:numId="19">
    <w:abstractNumId w:val="11"/>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compat/>
  <w:rsids>
    <w:rsidRoot w:val="005923F7"/>
    <w:rsid w:val="00011445"/>
    <w:rsid w:val="000462AF"/>
    <w:rsid w:val="00046941"/>
    <w:rsid w:val="00085EBE"/>
    <w:rsid w:val="000D5711"/>
    <w:rsid w:val="000E46B9"/>
    <w:rsid w:val="001207D0"/>
    <w:rsid w:val="00170329"/>
    <w:rsid w:val="00196BE0"/>
    <w:rsid w:val="001B41A7"/>
    <w:rsid w:val="001C06EB"/>
    <w:rsid w:val="001F4A7F"/>
    <w:rsid w:val="00205E44"/>
    <w:rsid w:val="00224FD8"/>
    <w:rsid w:val="00233535"/>
    <w:rsid w:val="0027703A"/>
    <w:rsid w:val="002A76AA"/>
    <w:rsid w:val="002D0029"/>
    <w:rsid w:val="00307715"/>
    <w:rsid w:val="00312A91"/>
    <w:rsid w:val="00313DAC"/>
    <w:rsid w:val="0034374B"/>
    <w:rsid w:val="00353F01"/>
    <w:rsid w:val="00367431"/>
    <w:rsid w:val="0038185F"/>
    <w:rsid w:val="003A3E7B"/>
    <w:rsid w:val="003A6C36"/>
    <w:rsid w:val="003B00CA"/>
    <w:rsid w:val="003C5D39"/>
    <w:rsid w:val="003C7C54"/>
    <w:rsid w:val="003D36BC"/>
    <w:rsid w:val="003D6806"/>
    <w:rsid w:val="003E5DC1"/>
    <w:rsid w:val="00452D17"/>
    <w:rsid w:val="00541858"/>
    <w:rsid w:val="0054291D"/>
    <w:rsid w:val="005923F7"/>
    <w:rsid w:val="0059347D"/>
    <w:rsid w:val="005970B8"/>
    <w:rsid w:val="005B43CD"/>
    <w:rsid w:val="00633BD4"/>
    <w:rsid w:val="00635C53"/>
    <w:rsid w:val="00650F12"/>
    <w:rsid w:val="00665421"/>
    <w:rsid w:val="006D7022"/>
    <w:rsid w:val="0070460B"/>
    <w:rsid w:val="0075765B"/>
    <w:rsid w:val="00790FE7"/>
    <w:rsid w:val="007C05D3"/>
    <w:rsid w:val="007D4E50"/>
    <w:rsid w:val="007E295B"/>
    <w:rsid w:val="007F3252"/>
    <w:rsid w:val="007F682D"/>
    <w:rsid w:val="008037C2"/>
    <w:rsid w:val="00810BE5"/>
    <w:rsid w:val="008200AF"/>
    <w:rsid w:val="00833838"/>
    <w:rsid w:val="0087397F"/>
    <w:rsid w:val="008B726C"/>
    <w:rsid w:val="008C3D7D"/>
    <w:rsid w:val="008F52DA"/>
    <w:rsid w:val="00922969"/>
    <w:rsid w:val="0092363B"/>
    <w:rsid w:val="00925609"/>
    <w:rsid w:val="00966970"/>
    <w:rsid w:val="00967664"/>
    <w:rsid w:val="009A32EE"/>
    <w:rsid w:val="009B0E80"/>
    <w:rsid w:val="009C6C85"/>
    <w:rsid w:val="009D7CAE"/>
    <w:rsid w:val="00A21748"/>
    <w:rsid w:val="00A51872"/>
    <w:rsid w:val="00AA4182"/>
    <w:rsid w:val="00AB69F2"/>
    <w:rsid w:val="00AF5DEB"/>
    <w:rsid w:val="00B24498"/>
    <w:rsid w:val="00B26E8D"/>
    <w:rsid w:val="00B43A78"/>
    <w:rsid w:val="00B45ADF"/>
    <w:rsid w:val="00B55029"/>
    <w:rsid w:val="00B64CBB"/>
    <w:rsid w:val="00B72AB2"/>
    <w:rsid w:val="00B87663"/>
    <w:rsid w:val="00B95BC7"/>
    <w:rsid w:val="00BB3891"/>
    <w:rsid w:val="00BB3B63"/>
    <w:rsid w:val="00BD0B00"/>
    <w:rsid w:val="00C64F8F"/>
    <w:rsid w:val="00C65E95"/>
    <w:rsid w:val="00C85530"/>
    <w:rsid w:val="00C95748"/>
    <w:rsid w:val="00CC5274"/>
    <w:rsid w:val="00D13E49"/>
    <w:rsid w:val="00D22F4C"/>
    <w:rsid w:val="00D332A1"/>
    <w:rsid w:val="00D62500"/>
    <w:rsid w:val="00D73783"/>
    <w:rsid w:val="00D924B9"/>
    <w:rsid w:val="00D94979"/>
    <w:rsid w:val="00DA6156"/>
    <w:rsid w:val="00DB04F6"/>
    <w:rsid w:val="00DC1E26"/>
    <w:rsid w:val="00DF301E"/>
    <w:rsid w:val="00DF5BC9"/>
    <w:rsid w:val="00E13778"/>
    <w:rsid w:val="00E56139"/>
    <w:rsid w:val="00E5648B"/>
    <w:rsid w:val="00E725E7"/>
    <w:rsid w:val="00E75D15"/>
    <w:rsid w:val="00E94283"/>
    <w:rsid w:val="00EA1AFD"/>
    <w:rsid w:val="00EA2F1E"/>
    <w:rsid w:val="00F06ACB"/>
    <w:rsid w:val="00F178C7"/>
    <w:rsid w:val="00F17D06"/>
    <w:rsid w:val="00F23475"/>
    <w:rsid w:val="00F26B1A"/>
    <w:rsid w:val="00F468F5"/>
    <w:rsid w:val="00FA1AE3"/>
    <w:rsid w:val="00FB68CF"/>
    <w:rsid w:val="00FC2F9F"/>
    <w:rsid w:val="00FC3017"/>
    <w:rsid w:val="00FF6DD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F7"/>
    <w:rPr>
      <w:rFonts w:ascii="Times New Roman" w:eastAsia="Times New Roman" w:hAnsi="Times New Roman"/>
      <w:sz w:val="24"/>
      <w:szCs w:val="24"/>
    </w:rPr>
  </w:style>
  <w:style w:type="paragraph" w:styleId="1">
    <w:name w:val="heading 1"/>
    <w:basedOn w:val="a"/>
    <w:next w:val="a"/>
    <w:link w:val="10"/>
    <w:uiPriority w:val="9"/>
    <w:qFormat/>
    <w:rsid w:val="00DF5B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C06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8766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C54"/>
    <w:pPr>
      <w:ind w:left="720"/>
      <w:contextualSpacing/>
    </w:pPr>
  </w:style>
  <w:style w:type="character" w:styleId="a4">
    <w:name w:val="Hyperlink"/>
    <w:rsid w:val="005923F7"/>
    <w:rPr>
      <w:color w:val="000080"/>
      <w:u w:val="single"/>
    </w:rPr>
  </w:style>
  <w:style w:type="paragraph" w:customStyle="1" w:styleId="11">
    <w:name w:val="Без інтервалів1"/>
    <w:qFormat/>
    <w:rsid w:val="005923F7"/>
    <w:rPr>
      <w:sz w:val="22"/>
      <w:szCs w:val="22"/>
      <w:lang w:val="uk-UA" w:eastAsia="en-US"/>
    </w:rPr>
  </w:style>
  <w:style w:type="character" w:styleId="a5">
    <w:name w:val="Strong"/>
    <w:uiPriority w:val="22"/>
    <w:qFormat/>
    <w:rsid w:val="005923F7"/>
    <w:rPr>
      <w:b/>
      <w:bCs/>
    </w:rPr>
  </w:style>
  <w:style w:type="paragraph" w:customStyle="1" w:styleId="12">
    <w:name w:val="Абзац списка1"/>
    <w:basedOn w:val="a"/>
    <w:rsid w:val="005923F7"/>
    <w:pPr>
      <w:spacing w:after="200" w:line="276" w:lineRule="auto"/>
      <w:ind w:left="720"/>
      <w:contextualSpacing/>
    </w:pPr>
    <w:rPr>
      <w:rFonts w:ascii="Calibri" w:hAnsi="Calibri"/>
      <w:sz w:val="22"/>
      <w:szCs w:val="22"/>
      <w:lang w:eastAsia="en-US"/>
    </w:rPr>
  </w:style>
  <w:style w:type="paragraph" w:styleId="a6">
    <w:name w:val="Normal (Web)"/>
    <w:basedOn w:val="a"/>
    <w:uiPriority w:val="99"/>
    <w:rsid w:val="005923F7"/>
    <w:pPr>
      <w:spacing w:before="100" w:beforeAutospacing="1" w:after="100" w:afterAutospacing="1"/>
    </w:pPr>
  </w:style>
  <w:style w:type="paragraph" w:customStyle="1" w:styleId="13">
    <w:name w:val="Абзац списка1"/>
    <w:basedOn w:val="a"/>
    <w:uiPriority w:val="99"/>
    <w:rsid w:val="005923F7"/>
    <w:pPr>
      <w:suppressAutoHyphens/>
      <w:spacing w:after="200" w:line="276" w:lineRule="auto"/>
      <w:ind w:left="720"/>
    </w:pPr>
    <w:rPr>
      <w:rFonts w:ascii="Calibri" w:eastAsia="Arial Unicode MS" w:hAnsi="Calibri" w:cs="font85"/>
      <w:kern w:val="1"/>
      <w:sz w:val="22"/>
      <w:szCs w:val="22"/>
      <w:lang w:eastAsia="ar-SA"/>
    </w:rPr>
  </w:style>
  <w:style w:type="character" w:customStyle="1" w:styleId="30">
    <w:name w:val="Заголовок 3 Знак"/>
    <w:basedOn w:val="a0"/>
    <w:link w:val="3"/>
    <w:uiPriority w:val="9"/>
    <w:rsid w:val="00B87663"/>
    <w:rPr>
      <w:rFonts w:ascii="Times New Roman" w:eastAsia="Times New Roman" w:hAnsi="Times New Roman"/>
      <w:b/>
      <w:bCs/>
      <w:sz w:val="27"/>
      <w:szCs w:val="27"/>
    </w:rPr>
  </w:style>
  <w:style w:type="paragraph" w:customStyle="1" w:styleId="Standard">
    <w:name w:val="Standard"/>
    <w:rsid w:val="00C64F8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styleId="a7">
    <w:name w:val="Table Grid"/>
    <w:basedOn w:val="a1"/>
    <w:uiPriority w:val="59"/>
    <w:rsid w:val="002A7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C06EB"/>
    <w:rPr>
      <w:rFonts w:asciiTheme="majorHAnsi" w:eastAsiaTheme="majorEastAsia" w:hAnsiTheme="majorHAnsi" w:cstheme="majorBidi"/>
      <w:color w:val="2E74B5" w:themeColor="accent1" w:themeShade="BF"/>
      <w:sz w:val="26"/>
      <w:szCs w:val="26"/>
    </w:rPr>
  </w:style>
  <w:style w:type="character" w:customStyle="1" w:styleId="spelle">
    <w:name w:val="spelle"/>
    <w:basedOn w:val="a0"/>
    <w:rsid w:val="001C06EB"/>
  </w:style>
  <w:style w:type="character" w:customStyle="1" w:styleId="grame">
    <w:name w:val="grame"/>
    <w:basedOn w:val="a0"/>
    <w:rsid w:val="001C06EB"/>
  </w:style>
  <w:style w:type="character" w:customStyle="1" w:styleId="10">
    <w:name w:val="Заголовок 1 Знак"/>
    <w:basedOn w:val="a0"/>
    <w:link w:val="1"/>
    <w:uiPriority w:val="9"/>
    <w:rsid w:val="00DF5BC9"/>
    <w:rPr>
      <w:rFonts w:asciiTheme="majorHAnsi" w:eastAsiaTheme="majorEastAsia" w:hAnsiTheme="majorHAnsi" w:cstheme="majorBidi"/>
      <w:color w:val="2E74B5" w:themeColor="accent1" w:themeShade="BF"/>
      <w:sz w:val="32"/>
      <w:szCs w:val="32"/>
    </w:rPr>
  </w:style>
  <w:style w:type="paragraph" w:styleId="21">
    <w:name w:val="Body Text Indent 2"/>
    <w:basedOn w:val="a"/>
    <w:link w:val="22"/>
    <w:rsid w:val="00E13778"/>
    <w:pPr>
      <w:spacing w:after="120" w:line="480" w:lineRule="auto"/>
      <w:ind w:left="283"/>
    </w:pPr>
    <w:rPr>
      <w:lang w:val="uk-UA"/>
    </w:rPr>
  </w:style>
  <w:style w:type="character" w:customStyle="1" w:styleId="22">
    <w:name w:val="Основной текст с отступом 2 Знак"/>
    <w:basedOn w:val="a0"/>
    <w:link w:val="21"/>
    <w:rsid w:val="00E13778"/>
    <w:rPr>
      <w:rFonts w:ascii="Times New Roman" w:eastAsia="Times New Roman" w:hAnsi="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852256876">
      <w:bodyDiv w:val="1"/>
      <w:marLeft w:val="0"/>
      <w:marRight w:val="0"/>
      <w:marTop w:val="0"/>
      <w:marBottom w:val="0"/>
      <w:divBdr>
        <w:top w:val="none" w:sz="0" w:space="0" w:color="auto"/>
        <w:left w:val="none" w:sz="0" w:space="0" w:color="auto"/>
        <w:bottom w:val="none" w:sz="0" w:space="0" w:color="auto"/>
        <w:right w:val="none" w:sz="0" w:space="0" w:color="auto"/>
      </w:divBdr>
    </w:div>
    <w:div w:id="1396664932">
      <w:bodyDiv w:val="1"/>
      <w:marLeft w:val="0"/>
      <w:marRight w:val="0"/>
      <w:marTop w:val="0"/>
      <w:marBottom w:val="0"/>
      <w:divBdr>
        <w:top w:val="none" w:sz="0" w:space="0" w:color="auto"/>
        <w:left w:val="none" w:sz="0" w:space="0" w:color="auto"/>
        <w:bottom w:val="none" w:sz="0" w:space="0" w:color="auto"/>
        <w:right w:val="none" w:sz="0" w:space="0" w:color="auto"/>
      </w:divBdr>
    </w:div>
    <w:div w:id="13976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microsoft.com/office/2007/relationships/hdphoto" Target="media/hdphoto1.wdp"/><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1"/>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5.3633217993079636E-2"/>
          <c:y val="4.7337278106508944E-2"/>
          <c:w val="0.93944636678200621"/>
          <c:h val="0.7100591715976331"/>
        </c:manualLayout>
      </c:layout>
      <c:bar3DChart>
        <c:barDir val="col"/>
        <c:grouping val="clustered"/>
        <c:ser>
          <c:idx val="0"/>
          <c:order val="0"/>
          <c:tx>
            <c:strRef>
              <c:f>Sheet1!$A$2</c:f>
              <c:strCache>
                <c:ptCount val="1"/>
                <c:pt idx="0">
                  <c:v>Міста-побратими</c:v>
                </c:pt>
              </c:strCache>
            </c:strRef>
          </c:tx>
          <c:spPr>
            <a:solidFill>
              <a:srgbClr val="FFFF00"/>
            </a:solidFill>
            <a:ln w="12700">
              <a:solidFill>
                <a:srgbClr val="000000"/>
              </a:solidFill>
              <a:prstDash val="solid"/>
            </a:ln>
          </c:spPr>
          <c:dLbls>
            <c:dLbl>
              <c:idx val="0"/>
              <c:layout>
                <c:manualLayout>
                  <c:x val="3.6218832020997035E-3"/>
                  <c:y val="-2.2730211355159652E-2"/>
                </c:manualLayout>
              </c:layout>
              <c:spPr>
                <a:noFill/>
                <a:ln w="25400">
                  <a:noFill/>
                </a:ln>
              </c:spPr>
              <c:txPr>
                <a:bodyPr/>
                <a:lstStyle/>
                <a:p>
                  <a:pPr>
                    <a:defRPr lang="ru-RU" sz="975"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64-4999-BCA5-2683C96C9336}"/>
                </c:ext>
              </c:extLst>
            </c:dLbl>
            <c:dLbl>
              <c:idx val="1"/>
              <c:layout>
                <c:manualLayout>
                  <c:x val="4.2004593175853037E-3"/>
                  <c:y val="-2.1860980296123374E-2"/>
                </c:manualLayout>
              </c:layout>
              <c:spPr>
                <a:noFill/>
                <a:ln w="25400">
                  <a:noFill/>
                </a:ln>
              </c:spPr>
              <c:txPr>
                <a:bodyPr/>
                <a:lstStyle/>
                <a:p>
                  <a:pPr>
                    <a:defRPr lang="ru-RU" sz="975"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64-4999-BCA5-2683C96C9336}"/>
                </c:ext>
              </c:extLst>
            </c:dLbl>
            <c:dLbl>
              <c:idx val="2"/>
              <c:layout>
                <c:manualLayout>
                  <c:x val="4.1666666666666692E-3"/>
                  <c:y val="-1.148325358851675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64-4999-BCA5-2683C96C9336}"/>
                </c:ext>
              </c:extLst>
            </c:dLbl>
            <c:spPr>
              <a:noFill/>
              <a:ln w="25400">
                <a:noFill/>
              </a:ln>
            </c:spPr>
            <c:txPr>
              <a:bodyPr wrap="square" lIns="38100" tIns="19050" rIns="38100" bIns="19050" anchor="ctr">
                <a:spAutoFit/>
              </a:bodyPr>
              <a:lstStyle/>
              <a:p>
                <a:pPr>
                  <a:defRPr lang="ru-RU" sz="975"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2016</c:v>
                </c:pt>
                <c:pt idx="1">
                  <c:v>2017</c:v>
                </c:pt>
                <c:pt idx="2">
                  <c:v>2018 (10 міс.)</c:v>
                </c:pt>
              </c:strCache>
            </c:strRef>
          </c:cat>
          <c:val>
            <c:numRef>
              <c:f>Sheet1!$B$2:$D$2</c:f>
              <c:numCache>
                <c:formatCode>General</c:formatCode>
                <c:ptCount val="3"/>
                <c:pt idx="0">
                  <c:v>4</c:v>
                </c:pt>
                <c:pt idx="1">
                  <c:v>4</c:v>
                </c:pt>
                <c:pt idx="2">
                  <c:v>4</c:v>
                </c:pt>
              </c:numCache>
            </c:numRef>
          </c:val>
          <c:extLst xmlns:c16r2="http://schemas.microsoft.com/office/drawing/2015/06/chart">
            <c:ext xmlns:c16="http://schemas.microsoft.com/office/drawing/2014/chart" uri="{C3380CC4-5D6E-409C-BE32-E72D297353CC}">
              <c16:uniqueId val="{00000006-5A64-4999-BCA5-2683C96C9336}"/>
            </c:ext>
          </c:extLst>
        </c:ser>
        <c:ser>
          <c:idx val="1"/>
          <c:order val="1"/>
          <c:tx>
            <c:strRef>
              <c:f>Sheet1!$A$3</c:f>
              <c:strCache>
                <c:ptCount val="1"/>
                <c:pt idx="0">
                  <c:v>Партнерські міста</c:v>
                </c:pt>
              </c:strCache>
            </c:strRef>
          </c:tx>
          <c:spPr>
            <a:solidFill>
              <a:srgbClr val="3366FF"/>
            </a:solidFill>
            <a:ln w="12700">
              <a:solidFill>
                <a:srgbClr val="000000"/>
              </a:solidFill>
              <a:prstDash val="solid"/>
            </a:ln>
          </c:spPr>
          <c:dLbls>
            <c:dLbl>
              <c:idx val="0"/>
              <c:layout>
                <c:manualLayout>
                  <c:x val="1.1079560367454043E-2"/>
                  <c:y val="-2.2668123422371282E-2"/>
                </c:manualLayout>
              </c:layout>
              <c:spPr>
                <a:noFill/>
                <a:ln w="25400">
                  <a:noFill/>
                </a:ln>
              </c:spPr>
              <c:txPr>
                <a:bodyPr/>
                <a:lstStyle/>
                <a:p>
                  <a:pPr>
                    <a:defRPr lang="ru-RU" sz="975"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A64-4999-BCA5-2683C96C9336}"/>
                </c:ext>
              </c:extLst>
            </c:dLbl>
            <c:dLbl>
              <c:idx val="1"/>
              <c:layout>
                <c:manualLayout>
                  <c:x val="9.9278215223097162E-3"/>
                  <c:y val="-7.8330256564819439E-3"/>
                </c:manualLayout>
              </c:layout>
              <c:spPr>
                <a:noFill/>
                <a:ln w="25400">
                  <a:noFill/>
                </a:ln>
              </c:spPr>
              <c:txPr>
                <a:bodyPr/>
                <a:lstStyle/>
                <a:p>
                  <a:pPr>
                    <a:defRPr lang="ru-RU" sz="975"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A64-4999-BCA5-2683C96C9336}"/>
                </c:ext>
              </c:extLst>
            </c:dLbl>
            <c:dLbl>
              <c:idx val="2"/>
              <c:layout>
                <c:manualLayout>
                  <c:x val="1.2500000000000013E-2"/>
                  <c:y val="-1.53110047846890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A64-4999-BCA5-2683C96C9336}"/>
                </c:ext>
              </c:extLst>
            </c:dLbl>
            <c:spPr>
              <a:noFill/>
              <a:ln w="25400">
                <a:noFill/>
              </a:ln>
            </c:spPr>
            <c:txPr>
              <a:bodyPr wrap="square" lIns="38100" tIns="19050" rIns="38100" bIns="19050" anchor="ctr">
                <a:spAutoFit/>
              </a:bodyPr>
              <a:lstStyle/>
              <a:p>
                <a:pPr>
                  <a:defRPr lang="ru-RU" sz="975"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2016</c:v>
                </c:pt>
                <c:pt idx="1">
                  <c:v>2017</c:v>
                </c:pt>
                <c:pt idx="2">
                  <c:v>2018 (10 міс.)</c:v>
                </c:pt>
              </c:strCache>
            </c:strRef>
          </c:cat>
          <c:val>
            <c:numRef>
              <c:f>Sheet1!$B$3:$D$3</c:f>
              <c:numCache>
                <c:formatCode>General</c:formatCode>
                <c:ptCount val="3"/>
                <c:pt idx="0">
                  <c:v>12</c:v>
                </c:pt>
                <c:pt idx="1">
                  <c:v>15</c:v>
                </c:pt>
                <c:pt idx="2">
                  <c:v>16</c:v>
                </c:pt>
              </c:numCache>
            </c:numRef>
          </c:val>
          <c:extLst xmlns:c16r2="http://schemas.microsoft.com/office/drawing/2015/06/chart">
            <c:ext xmlns:c16="http://schemas.microsoft.com/office/drawing/2014/chart" uri="{C3380CC4-5D6E-409C-BE32-E72D297353CC}">
              <c16:uniqueId val="{0000000D-5A64-4999-BCA5-2683C96C9336}"/>
            </c:ext>
          </c:extLst>
        </c:ser>
        <c:ser>
          <c:idx val="2"/>
          <c:order val="2"/>
          <c:tx>
            <c:strRef>
              <c:f>Sheet1!$A$4</c:f>
              <c:strCache>
                <c:ptCount val="1"/>
                <c:pt idx="0">
                  <c:v>Дружні міста</c:v>
                </c:pt>
              </c:strCache>
            </c:strRef>
          </c:tx>
          <c:spPr>
            <a:solidFill>
              <a:srgbClr val="993366"/>
            </a:solidFill>
            <a:ln w="12700">
              <a:solidFill>
                <a:srgbClr val="000000"/>
              </a:solidFill>
              <a:prstDash val="solid"/>
            </a:ln>
          </c:spPr>
          <c:dLbls>
            <c:dLbl>
              <c:idx val="0"/>
              <c:layout>
                <c:manualLayout>
                  <c:x val="1.2604002624671993E-2"/>
                  <c:y val="-6.5300832611235003E-3"/>
                </c:manualLayout>
              </c:layout>
              <c:spPr>
                <a:noFill/>
                <a:ln w="25400">
                  <a:noFill/>
                </a:ln>
              </c:spPr>
              <c:txPr>
                <a:bodyPr/>
                <a:lstStyle/>
                <a:p>
                  <a:pPr>
                    <a:defRPr lang="ru-RU" sz="975"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A64-4999-BCA5-2683C96C9336}"/>
                </c:ext>
              </c:extLst>
            </c:dLbl>
            <c:dLbl>
              <c:idx val="1"/>
              <c:layout>
                <c:manualLayout>
                  <c:x val="1.0356627296587947E-2"/>
                  <c:y val="-1.3667482952190819E-2"/>
                </c:manualLayout>
              </c:layout>
              <c:spPr>
                <a:noFill/>
                <a:ln w="25400">
                  <a:noFill/>
                </a:ln>
              </c:spPr>
              <c:txPr>
                <a:bodyPr/>
                <a:lstStyle/>
                <a:p>
                  <a:pPr>
                    <a:defRPr lang="ru-RU" sz="975"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A64-4999-BCA5-2683C96C9336}"/>
                </c:ext>
              </c:extLst>
            </c:dLbl>
            <c:dLbl>
              <c:idx val="2"/>
              <c:layout>
                <c:manualLayout>
                  <c:x val="6.2500000000000064E-3"/>
                  <c:y val="-1.148325358851675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A64-4999-BCA5-2683C96C9336}"/>
                </c:ext>
              </c:extLst>
            </c:dLbl>
            <c:spPr>
              <a:noFill/>
              <a:ln w="25400">
                <a:noFill/>
              </a:ln>
            </c:spPr>
            <c:txPr>
              <a:bodyPr wrap="square" lIns="38100" tIns="19050" rIns="38100" bIns="19050" anchor="ctr">
                <a:spAutoFit/>
              </a:bodyPr>
              <a:lstStyle/>
              <a:p>
                <a:pPr>
                  <a:defRPr lang="ru-RU" sz="975"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2016</c:v>
                </c:pt>
                <c:pt idx="1">
                  <c:v>2017</c:v>
                </c:pt>
                <c:pt idx="2">
                  <c:v>2018 (10 міс.)</c:v>
                </c:pt>
              </c:strCache>
            </c:strRef>
          </c:cat>
          <c:val>
            <c:numRef>
              <c:f>Sheet1!$B$4:$D$4</c:f>
              <c:numCache>
                <c:formatCode>General</c:formatCode>
                <c:ptCount val="3"/>
                <c:pt idx="0">
                  <c:v>9</c:v>
                </c:pt>
                <c:pt idx="1">
                  <c:v>9</c:v>
                </c:pt>
                <c:pt idx="2">
                  <c:v>8</c:v>
                </c:pt>
              </c:numCache>
            </c:numRef>
          </c:val>
          <c:extLst xmlns:c16r2="http://schemas.microsoft.com/office/drawing/2015/06/chart">
            <c:ext xmlns:c16="http://schemas.microsoft.com/office/drawing/2014/chart" uri="{C3380CC4-5D6E-409C-BE32-E72D297353CC}">
              <c16:uniqueId val="{00000014-5A64-4999-BCA5-2683C96C9336}"/>
            </c:ext>
          </c:extLst>
        </c:ser>
        <c:gapDepth val="0"/>
        <c:shape val="box"/>
        <c:axId val="30069120"/>
        <c:axId val="30070656"/>
        <c:axId val="0"/>
      </c:bar3DChart>
      <c:catAx>
        <c:axId val="30069120"/>
        <c:scaling>
          <c:orientation val="minMax"/>
        </c:scaling>
        <c:axPos val="b"/>
        <c:numFmt formatCode="General" sourceLinked="1"/>
        <c:tickLblPos val="low"/>
        <c:spPr>
          <a:ln w="3175">
            <a:solidFill>
              <a:srgbClr val="000000"/>
            </a:solidFill>
            <a:prstDash val="solid"/>
          </a:ln>
        </c:spPr>
        <c:txPr>
          <a:bodyPr rot="0" vert="horz"/>
          <a:lstStyle/>
          <a:p>
            <a:pPr>
              <a:defRPr lang="ru-RU" sz="975" b="1" i="0" u="none" strike="noStrike" baseline="0">
                <a:solidFill>
                  <a:srgbClr val="000000"/>
                </a:solidFill>
                <a:latin typeface="Arial"/>
                <a:ea typeface="Arial"/>
                <a:cs typeface="Arial"/>
              </a:defRPr>
            </a:pPr>
            <a:endParaRPr lang="uk-UA"/>
          </a:p>
        </c:txPr>
        <c:crossAx val="30070656"/>
        <c:crosses val="autoZero"/>
        <c:auto val="1"/>
        <c:lblAlgn val="ctr"/>
        <c:lblOffset val="100"/>
        <c:tickLblSkip val="1"/>
        <c:tickMarkSkip val="1"/>
      </c:catAx>
      <c:valAx>
        <c:axId val="3007065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lang="ru-RU" sz="1000" b="1" i="0" u="none" strike="noStrike" baseline="0">
                <a:solidFill>
                  <a:srgbClr val="000000"/>
                </a:solidFill>
                <a:latin typeface="Arial"/>
                <a:ea typeface="Arial"/>
                <a:cs typeface="Arial"/>
              </a:defRPr>
            </a:pPr>
            <a:endParaRPr lang="uk-UA"/>
          </a:p>
        </c:txPr>
        <c:crossAx val="30069120"/>
        <c:crosses val="autoZero"/>
        <c:crossBetween val="between"/>
      </c:valAx>
      <c:spPr>
        <a:noFill/>
        <a:ln w="25400">
          <a:noFill/>
        </a:ln>
      </c:spPr>
    </c:plotArea>
    <c:legend>
      <c:legendPos val="b"/>
      <c:layout>
        <c:manualLayout>
          <c:xMode val="edge"/>
          <c:yMode val="edge"/>
          <c:x val="0.19243077427821517"/>
          <c:y val="0.87418543495460266"/>
          <c:w val="0.64013840830449953"/>
          <c:h val="7.1005917159763413E-2"/>
        </c:manualLayout>
      </c:layout>
      <c:spPr>
        <a:solidFill>
          <a:srgbClr val="FFFFFF"/>
        </a:solidFill>
        <a:ln w="3175">
          <a:solidFill>
            <a:srgbClr val="000000"/>
          </a:solidFill>
          <a:prstDash val="solid"/>
        </a:ln>
      </c:spPr>
      <c:txPr>
        <a:bodyPr/>
        <a:lstStyle/>
        <a:p>
          <a:pPr>
            <a:defRPr lang="ru-RU" sz="895" b="1" i="0" u="none" strike="noStrike" baseline="0">
              <a:solidFill>
                <a:srgbClr val="000000"/>
              </a:solidFill>
              <a:latin typeface="Arial"/>
              <a:ea typeface="Arial"/>
              <a:cs typeface="Arial"/>
            </a:defRPr>
          </a:pPr>
          <a:endParaRPr lang="uk-UA"/>
        </a:p>
      </c:txPr>
    </c:legend>
    <c:plotVisOnly val="1"/>
    <c:dispBlanksAs val="gap"/>
  </c:chart>
  <c:spPr>
    <a:noFill/>
    <a:ln>
      <a:noFill/>
    </a:ln>
  </c:spPr>
  <c:txPr>
    <a:bodyPr/>
    <a:lstStyle/>
    <a:p>
      <a:pPr>
        <a:defRPr sz="1450" b="1" i="0" u="none" strike="noStrike" baseline="0">
          <a:solidFill>
            <a:srgbClr val="000000"/>
          </a:solidFill>
          <a:latin typeface="Arial"/>
          <a:ea typeface="Arial"/>
          <a:cs typeface="Arial"/>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46"/>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5.2805280528052813E-2"/>
          <c:y val="5.248618784530399E-2"/>
          <c:w val="0.93069306930693052"/>
          <c:h val="0.57734806629834334"/>
        </c:manualLayout>
      </c:layout>
      <c:bar3DChart>
        <c:barDir val="col"/>
        <c:grouping val="clustered"/>
        <c:ser>
          <c:idx val="0"/>
          <c:order val="0"/>
          <c:tx>
            <c:strRef>
              <c:f>Sheet1!$A$2</c:f>
              <c:strCache>
                <c:ptCount val="1"/>
                <c:pt idx="0">
                  <c:v>Організація міжнародних заходів у місті </c:v>
                </c:pt>
              </c:strCache>
            </c:strRef>
          </c:tx>
          <c:spPr>
            <a:solidFill>
              <a:srgbClr val="FFFF00"/>
            </a:solidFill>
            <a:ln w="12688">
              <a:solidFill>
                <a:srgbClr val="000000"/>
              </a:solidFill>
              <a:prstDash val="solid"/>
            </a:ln>
          </c:spPr>
          <c:dLbls>
            <c:dLbl>
              <c:idx val="0"/>
              <c:layout>
                <c:manualLayout>
                  <c:x val="7.5183159791083977E-4"/>
                  <c:y val="-9.3029151180820807E-3"/>
                </c:manualLayout>
              </c:layout>
              <c:spPr>
                <a:noFill/>
                <a:ln w="25375">
                  <a:noFill/>
                </a:ln>
              </c:spPr>
              <c:txPr>
                <a:bodyPr/>
                <a:lstStyle/>
                <a:p>
                  <a:pPr>
                    <a:defRPr lang="ru-RU" sz="1000"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B35-4F88-9B81-7D0A98A56D2B}"/>
                </c:ext>
              </c:extLst>
            </c:dLbl>
            <c:dLbl>
              <c:idx val="1"/>
              <c:layout>
                <c:manualLayout>
                  <c:x val="4.4918824535948405E-3"/>
                  <c:y val="-5.9538882089747724E-3"/>
                </c:manualLayout>
              </c:layout>
              <c:spPr>
                <a:noFill/>
                <a:ln w="25375">
                  <a:noFill/>
                </a:ln>
              </c:spPr>
              <c:txPr>
                <a:bodyPr/>
                <a:lstStyle/>
                <a:p>
                  <a:pPr>
                    <a:defRPr lang="ru-RU" sz="1000"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B35-4F88-9B81-7D0A98A56D2B}"/>
                </c:ext>
              </c:extLst>
            </c:dLbl>
            <c:dLbl>
              <c:idx val="2"/>
              <c:layout>
                <c:manualLayout>
                  <c:x val="4.3332250027082759E-3"/>
                  <c:y val="-7.154355213736294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B35-4F88-9B81-7D0A98A56D2B}"/>
                </c:ext>
              </c:extLst>
            </c:dLbl>
            <c:spPr>
              <a:noFill/>
              <a:ln w="25375">
                <a:noFill/>
              </a:ln>
            </c:spPr>
            <c:txPr>
              <a:bodyPr wrap="square" lIns="38100" tIns="19050" rIns="38100" bIns="19050" anchor="ctr">
                <a:spAutoFit/>
              </a:bodyPr>
              <a:lstStyle/>
              <a:p>
                <a:pPr>
                  <a:defRPr lang="ru-RU" sz="1000"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2016</c:v>
                </c:pt>
                <c:pt idx="1">
                  <c:v>2017</c:v>
                </c:pt>
                <c:pt idx="2">
                  <c:v>2018 (10 міс.) </c:v>
                </c:pt>
              </c:strCache>
            </c:strRef>
          </c:cat>
          <c:val>
            <c:numRef>
              <c:f>Sheet1!$B$2:$D$2</c:f>
              <c:numCache>
                <c:formatCode>General</c:formatCode>
                <c:ptCount val="3"/>
                <c:pt idx="0">
                  <c:v>19</c:v>
                </c:pt>
                <c:pt idx="1">
                  <c:v>11</c:v>
                </c:pt>
                <c:pt idx="2">
                  <c:v>11</c:v>
                </c:pt>
              </c:numCache>
            </c:numRef>
          </c:val>
          <c:extLst xmlns:c16r2="http://schemas.microsoft.com/office/drawing/2015/06/chart">
            <c:ext xmlns:c16="http://schemas.microsoft.com/office/drawing/2014/chart" uri="{C3380CC4-5D6E-409C-BE32-E72D297353CC}">
              <c16:uniqueId val="{00000006-AB35-4F88-9B81-7D0A98A56D2B}"/>
            </c:ext>
          </c:extLst>
        </c:ser>
        <c:ser>
          <c:idx val="1"/>
          <c:order val="1"/>
          <c:tx>
            <c:strRef>
              <c:f>Sheet1!$A$3</c:f>
              <c:strCache>
                <c:ptCount val="1"/>
                <c:pt idx="0">
                  <c:v>Організація міжнародних візитів представників міської ради </c:v>
                </c:pt>
              </c:strCache>
            </c:strRef>
          </c:tx>
          <c:spPr>
            <a:solidFill>
              <a:srgbClr val="3366FF"/>
            </a:solidFill>
            <a:ln w="12688">
              <a:solidFill>
                <a:srgbClr val="000000"/>
              </a:solidFill>
              <a:prstDash val="solid"/>
            </a:ln>
          </c:spPr>
          <c:dLbls>
            <c:dLbl>
              <c:idx val="0"/>
              <c:layout>
                <c:manualLayout>
                  <c:x val="-5.5973666275141107E-4"/>
                  <c:y val="-1.0680832665546581E-2"/>
                </c:manualLayout>
              </c:layout>
              <c:spPr>
                <a:noFill/>
                <a:ln w="25375">
                  <a:noFill/>
                </a:ln>
              </c:spPr>
              <c:txPr>
                <a:bodyPr/>
                <a:lstStyle/>
                <a:p>
                  <a:pPr>
                    <a:defRPr lang="ru-RU" sz="1000"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B35-4F88-9B81-7D0A98A56D2B}"/>
                </c:ext>
              </c:extLst>
            </c:dLbl>
            <c:dLbl>
              <c:idx val="1"/>
              <c:layout>
                <c:manualLayout>
                  <c:x val="-1.6694858219095743E-3"/>
                  <c:y val="-1.8944394604940205E-2"/>
                </c:manualLayout>
              </c:layout>
              <c:spPr>
                <a:noFill/>
                <a:ln w="25375">
                  <a:noFill/>
                </a:ln>
              </c:spPr>
              <c:txPr>
                <a:bodyPr/>
                <a:lstStyle/>
                <a:p>
                  <a:pPr>
                    <a:defRPr lang="ru-RU" sz="1000"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B35-4F88-9B81-7D0A98A56D2B}"/>
                </c:ext>
              </c:extLst>
            </c:dLbl>
            <c:dLbl>
              <c:idx val="2"/>
              <c:layout>
                <c:manualLayout>
                  <c:x val="2.1666125013541358E-3"/>
                  <c:y val="-2.14630656412091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B35-4F88-9B81-7D0A98A56D2B}"/>
                </c:ext>
              </c:extLst>
            </c:dLbl>
            <c:spPr>
              <a:noFill/>
              <a:ln w="25375">
                <a:noFill/>
              </a:ln>
            </c:spPr>
            <c:txPr>
              <a:bodyPr wrap="square" lIns="38100" tIns="19050" rIns="38100" bIns="19050" anchor="ctr">
                <a:spAutoFit/>
              </a:bodyPr>
              <a:lstStyle/>
              <a:p>
                <a:pPr>
                  <a:defRPr lang="ru-RU" sz="1000"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2016</c:v>
                </c:pt>
                <c:pt idx="1">
                  <c:v>2017</c:v>
                </c:pt>
                <c:pt idx="2">
                  <c:v>2018 (10 міс.) </c:v>
                </c:pt>
              </c:strCache>
            </c:strRef>
          </c:cat>
          <c:val>
            <c:numRef>
              <c:f>Sheet1!$B$3:$D$3</c:f>
              <c:numCache>
                <c:formatCode>General</c:formatCode>
                <c:ptCount val="3"/>
                <c:pt idx="0">
                  <c:v>28</c:v>
                </c:pt>
                <c:pt idx="1">
                  <c:v>29</c:v>
                </c:pt>
                <c:pt idx="2">
                  <c:v>30</c:v>
                </c:pt>
              </c:numCache>
            </c:numRef>
          </c:val>
          <c:extLst xmlns:c16r2="http://schemas.microsoft.com/office/drawing/2015/06/chart">
            <c:ext xmlns:c16="http://schemas.microsoft.com/office/drawing/2014/chart" uri="{C3380CC4-5D6E-409C-BE32-E72D297353CC}">
              <c16:uniqueId val="{0000000D-AB35-4F88-9B81-7D0A98A56D2B}"/>
            </c:ext>
          </c:extLst>
        </c:ser>
        <c:ser>
          <c:idx val="2"/>
          <c:order val="2"/>
          <c:tx>
            <c:strRef>
              <c:f>Sheet1!$A$4</c:f>
              <c:strCache>
                <c:ptCount val="1"/>
                <c:pt idx="0">
                  <c:v>Організація міжнародних візитів до міської ради </c:v>
                </c:pt>
              </c:strCache>
            </c:strRef>
          </c:tx>
          <c:spPr>
            <a:solidFill>
              <a:srgbClr val="993366"/>
            </a:solidFill>
            <a:ln w="12688">
              <a:solidFill>
                <a:srgbClr val="000000"/>
              </a:solidFill>
              <a:prstDash val="solid"/>
            </a:ln>
          </c:spPr>
          <c:dLbls>
            <c:dLbl>
              <c:idx val="0"/>
              <c:layout>
                <c:manualLayout>
                  <c:x val="9.7804641498135773E-3"/>
                  <c:y val="-1.4842470393222002E-2"/>
                </c:manualLayout>
              </c:layout>
              <c:spPr>
                <a:noFill/>
                <a:ln w="25375">
                  <a:noFill/>
                </a:ln>
              </c:spPr>
              <c:txPr>
                <a:bodyPr/>
                <a:lstStyle/>
                <a:p>
                  <a:pPr>
                    <a:defRPr lang="ru-RU" sz="1000"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B35-4F88-9B81-7D0A98A56D2B}"/>
                </c:ext>
              </c:extLst>
            </c:dLbl>
            <c:dLbl>
              <c:idx val="1"/>
              <c:layout>
                <c:manualLayout>
                  <c:x val="8.5698907396080885E-3"/>
                  <c:y val="-1.9208317078769757E-2"/>
                </c:manualLayout>
              </c:layout>
              <c:spPr>
                <a:noFill/>
                <a:ln w="25375">
                  <a:noFill/>
                </a:ln>
              </c:spPr>
              <c:txPr>
                <a:bodyPr/>
                <a:lstStyle/>
                <a:p>
                  <a:pPr>
                    <a:defRPr lang="ru-RU" sz="1000"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AB35-4F88-9B81-7D0A98A56D2B}"/>
                </c:ext>
              </c:extLst>
            </c:dLbl>
            <c:dLbl>
              <c:idx val="2"/>
              <c:layout>
                <c:manualLayout>
                  <c:x val="8.6664500054165466E-3"/>
                  <c:y val="-1.07315328206045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AB35-4F88-9B81-7D0A98A56D2B}"/>
                </c:ext>
              </c:extLst>
            </c:dLbl>
            <c:spPr>
              <a:noFill/>
              <a:ln w="25375">
                <a:noFill/>
              </a:ln>
            </c:spPr>
            <c:txPr>
              <a:bodyPr wrap="square" lIns="38100" tIns="19050" rIns="38100" bIns="19050" anchor="ctr">
                <a:spAutoFit/>
              </a:bodyPr>
              <a:lstStyle/>
              <a:p>
                <a:pPr>
                  <a:defRPr lang="ru-RU" sz="1000" b="1" i="0" u="none" strike="noStrike" baseline="0">
                    <a:solidFill>
                      <a:srgbClr val="000000"/>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2016</c:v>
                </c:pt>
                <c:pt idx="1">
                  <c:v>2017</c:v>
                </c:pt>
                <c:pt idx="2">
                  <c:v>2018 (10 міс.) </c:v>
                </c:pt>
              </c:strCache>
            </c:strRef>
          </c:cat>
          <c:val>
            <c:numRef>
              <c:f>Sheet1!$B$4:$D$4</c:f>
              <c:numCache>
                <c:formatCode>General</c:formatCode>
                <c:ptCount val="3"/>
                <c:pt idx="0">
                  <c:v>42</c:v>
                </c:pt>
                <c:pt idx="1">
                  <c:v>49</c:v>
                </c:pt>
                <c:pt idx="2">
                  <c:v>54</c:v>
                </c:pt>
              </c:numCache>
            </c:numRef>
          </c:val>
          <c:extLst xmlns:c16r2="http://schemas.microsoft.com/office/drawing/2015/06/chart">
            <c:ext xmlns:c16="http://schemas.microsoft.com/office/drawing/2014/chart" uri="{C3380CC4-5D6E-409C-BE32-E72D297353CC}">
              <c16:uniqueId val="{00000014-AB35-4F88-9B81-7D0A98A56D2B}"/>
            </c:ext>
          </c:extLst>
        </c:ser>
        <c:gapDepth val="0"/>
        <c:shape val="box"/>
        <c:axId val="103225984"/>
        <c:axId val="103231872"/>
        <c:axId val="0"/>
      </c:bar3DChart>
      <c:catAx>
        <c:axId val="103225984"/>
        <c:scaling>
          <c:orientation val="minMax"/>
        </c:scaling>
        <c:axPos val="b"/>
        <c:numFmt formatCode="General" sourceLinked="1"/>
        <c:tickLblPos val="low"/>
        <c:spPr>
          <a:ln w="3172">
            <a:solidFill>
              <a:srgbClr val="000000"/>
            </a:solidFill>
            <a:prstDash val="solid"/>
          </a:ln>
        </c:spPr>
        <c:txPr>
          <a:bodyPr rot="0" vert="horz"/>
          <a:lstStyle/>
          <a:p>
            <a:pPr>
              <a:defRPr lang="ru-RU" sz="1000" b="1" i="0" u="none" strike="noStrike" baseline="0">
                <a:solidFill>
                  <a:srgbClr val="000000"/>
                </a:solidFill>
                <a:latin typeface="Arial"/>
                <a:ea typeface="Arial"/>
                <a:cs typeface="Arial"/>
              </a:defRPr>
            </a:pPr>
            <a:endParaRPr lang="uk-UA"/>
          </a:p>
        </c:txPr>
        <c:crossAx val="103231872"/>
        <c:crosses val="autoZero"/>
        <c:auto val="1"/>
        <c:lblAlgn val="ctr"/>
        <c:lblOffset val="100"/>
        <c:tickLblSkip val="1"/>
        <c:tickMarkSkip val="1"/>
      </c:catAx>
      <c:valAx>
        <c:axId val="103231872"/>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lang="ru-RU" sz="1000" b="1" i="0" u="none" strike="noStrike" baseline="0">
                <a:solidFill>
                  <a:srgbClr val="000000"/>
                </a:solidFill>
                <a:latin typeface="Arial"/>
                <a:ea typeface="Arial"/>
                <a:cs typeface="Arial"/>
              </a:defRPr>
            </a:pPr>
            <a:endParaRPr lang="uk-UA"/>
          </a:p>
        </c:txPr>
        <c:crossAx val="103225984"/>
        <c:crosses val="autoZero"/>
        <c:crossBetween val="between"/>
      </c:valAx>
      <c:spPr>
        <a:noFill/>
        <a:ln w="25375">
          <a:noFill/>
        </a:ln>
      </c:spPr>
    </c:plotArea>
    <c:legend>
      <c:legendPos val="b"/>
      <c:layout>
        <c:manualLayout>
          <c:xMode val="edge"/>
          <c:yMode val="edge"/>
          <c:x val="0.12211221122112222"/>
          <c:y val="0.75460167282345092"/>
          <c:w val="0.75577557755775671"/>
          <c:h val="0.1476816649930921"/>
        </c:manualLayout>
      </c:layout>
      <c:spPr>
        <a:solidFill>
          <a:srgbClr val="FFFFFF"/>
        </a:solidFill>
        <a:ln w="3172">
          <a:solidFill>
            <a:srgbClr val="000000"/>
          </a:solidFill>
          <a:prstDash val="solid"/>
        </a:ln>
      </c:spPr>
      <c:txPr>
        <a:bodyPr/>
        <a:lstStyle/>
        <a:p>
          <a:pPr>
            <a:defRPr lang="ru-RU" sz="1000" b="1" i="0" u="none" strike="noStrike" baseline="0">
              <a:solidFill>
                <a:srgbClr val="000000"/>
              </a:solidFill>
              <a:latin typeface="Arial"/>
              <a:ea typeface="Arial"/>
              <a:cs typeface="Arial"/>
            </a:defRPr>
          </a:pPr>
          <a:endParaRPr lang="uk-UA"/>
        </a:p>
      </c:txPr>
    </c:legend>
    <c:plotVisOnly val="1"/>
    <c:dispBlanksAs val="gap"/>
  </c:chart>
  <c:spPr>
    <a:noFill/>
    <a:ln>
      <a:noFill/>
    </a:ln>
  </c:spPr>
  <c:txPr>
    <a:bodyPr/>
    <a:lstStyle/>
    <a:p>
      <a:pPr>
        <a:defRPr sz="1573" b="1" i="0" u="none" strike="noStrike" baseline="0">
          <a:solidFill>
            <a:srgbClr val="000000"/>
          </a:solidFill>
          <a:latin typeface="Arial"/>
          <a:ea typeface="Arial"/>
          <a:cs typeface="Arial"/>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A0A-4FAC-9DE6-0E069951247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A0A-4FAC-9DE6-0E069951247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A0A-4FAC-9DE6-0E069951247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A0A-4FAC-9DE6-0E069951247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6A0A-4FAC-9DE6-0E0699512471}"/>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6A0A-4FAC-9DE6-0E0699512471}"/>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6A0A-4FAC-9DE6-0E0699512471}"/>
              </c:ext>
            </c:extLst>
          </c:dPt>
          <c:dLbls>
            <c:dLbl>
              <c:idx val="0"/>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A0A-4FAC-9DE6-0E0699512471}"/>
                </c:ext>
              </c:extLst>
            </c:dLbl>
            <c:dLbl>
              <c:idx val="1"/>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A0A-4FAC-9DE6-0E0699512471}"/>
                </c:ext>
              </c:extLst>
            </c:dLbl>
            <c:dLbl>
              <c:idx val="2"/>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A0A-4FAC-9DE6-0E0699512471}"/>
                </c:ext>
              </c:extLst>
            </c:dLbl>
            <c:dLbl>
              <c:idx val="3"/>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A0A-4FAC-9DE6-0E0699512471}"/>
                </c:ext>
              </c:extLst>
            </c:dLbl>
            <c:dLbl>
              <c:idx val="4"/>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A0A-4FAC-9DE6-0E0699512471}"/>
                </c:ext>
              </c:extLst>
            </c:dLbl>
            <c:dLbl>
              <c:idx val="5"/>
              <c:layout>
                <c:manualLayout>
                  <c:x val="1.910828025477709E-2"/>
                  <c:y val="-0.10666666666666676"/>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A0A-4FAC-9DE6-0E0699512471}"/>
                </c:ext>
              </c:extLst>
            </c:dLbl>
            <c:dLbl>
              <c:idx val="6"/>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A0A-4FAC-9DE6-0E069951247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ru-RU" sz="1000" b="1" i="0" u="none" strike="noStrike" kern="1200" baseline="0">
                    <a:solidFill>
                      <a:sysClr val="windowText" lastClr="000000"/>
                    </a:solidFill>
                    <a:latin typeface="+mn-lt"/>
                    <a:ea typeface="+mn-ea"/>
                    <a:cs typeface="+mn-cs"/>
                  </a:defRPr>
                </a:pPr>
                <a:endParaRPr lang="uk-UA"/>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Лист1!$A$2:$A$8</c:f>
              <c:strCache>
                <c:ptCount val="7"/>
                <c:pt idx="0">
                  <c:v>Участь у виставках та ярмарках</c:v>
                </c:pt>
                <c:pt idx="1">
                  <c:v>Соціальна реклама</c:v>
                </c:pt>
                <c:pt idx="2">
                  <c:v>Сувенірна продукція</c:v>
                </c:pt>
                <c:pt idx="3">
                  <c:v>Транспортні витрати</c:v>
                </c:pt>
                <c:pt idx="4">
                  <c:v>Харчування гостей</c:v>
                </c:pt>
                <c:pt idx="5">
                  <c:v>Проживання гостей</c:v>
                </c:pt>
                <c:pt idx="6">
                  <c:v>Інші витрати</c:v>
                </c:pt>
              </c:strCache>
            </c:strRef>
          </c:cat>
          <c:val>
            <c:numRef>
              <c:f>Лист1!$B$2:$B$8</c:f>
              <c:numCache>
                <c:formatCode>General</c:formatCode>
                <c:ptCount val="7"/>
                <c:pt idx="0">
                  <c:v>120.4</c:v>
                </c:pt>
                <c:pt idx="1">
                  <c:v>159.1</c:v>
                </c:pt>
                <c:pt idx="2">
                  <c:v>107.6</c:v>
                </c:pt>
                <c:pt idx="3">
                  <c:v>95</c:v>
                </c:pt>
                <c:pt idx="4">
                  <c:v>195.7</c:v>
                </c:pt>
                <c:pt idx="5">
                  <c:v>175.1</c:v>
                </c:pt>
                <c:pt idx="6">
                  <c:v>69.3</c:v>
                </c:pt>
              </c:numCache>
            </c:numRef>
          </c:val>
          <c:extLst xmlns:c16r2="http://schemas.microsoft.com/office/drawing/2015/06/chart">
            <c:ext xmlns:c16="http://schemas.microsoft.com/office/drawing/2014/chart" uri="{C3380CC4-5D6E-409C-BE32-E72D297353CC}">
              <c16:uniqueId val="{0000000E-6A0A-4FAC-9DE6-0E0699512471}"/>
            </c:ext>
          </c:extLst>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view3D>
      <c:hPercent val="43"/>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6.9124423963133744E-2"/>
          <c:y val="4.4827586206896627E-2"/>
          <c:w val="0.9155145929339471"/>
          <c:h val="0.81034482758620685"/>
        </c:manualLayout>
      </c:layout>
      <c:bar3DChart>
        <c:barDir val="col"/>
        <c:grouping val="clustered"/>
        <c:ser>
          <c:idx val="0"/>
          <c:order val="0"/>
          <c:tx>
            <c:strRef>
              <c:f>Sheet1!$A$2</c:f>
              <c:strCache>
                <c:ptCount val="1"/>
                <c:pt idx="0">
                  <c:v>Восток</c:v>
                </c:pt>
              </c:strCache>
            </c:strRef>
          </c:tx>
          <c:spPr>
            <a:solidFill>
              <a:srgbClr val="3366FF"/>
            </a:solidFill>
            <a:ln w="12692">
              <a:solidFill>
                <a:srgbClr val="000000"/>
              </a:solidFill>
              <a:prstDash val="solid"/>
            </a:ln>
          </c:spPr>
          <c:dLbls>
            <c:dLbl>
              <c:idx val="0"/>
              <c:layout>
                <c:manualLayout>
                  <c:x val="2.4662221491160135E-3"/>
                  <c:y val="0.10352955506310223"/>
                </c:manualLayout>
              </c:layout>
              <c:spPr>
                <a:noFill/>
                <a:ln w="25384">
                  <a:noFill/>
                </a:ln>
              </c:spPr>
              <c:txPr>
                <a:bodyPr/>
                <a:lstStyle/>
                <a:p>
                  <a:pPr>
                    <a:defRPr lang="ru-RU" sz="1199" b="1" i="0" u="none" strike="noStrike" baseline="0">
                      <a:solidFill>
                        <a:schemeClr val="bg1"/>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F47-4AE5-BB12-3B2D5ED48300}"/>
                </c:ext>
              </c:extLst>
            </c:dLbl>
            <c:dLbl>
              <c:idx val="1"/>
              <c:layout>
                <c:manualLayout>
                  <c:x val="4.2646349496957689E-3"/>
                  <c:y val="0.10764455341285951"/>
                </c:manualLayout>
              </c:layout>
              <c:spPr>
                <a:noFill/>
                <a:ln w="25384">
                  <a:noFill/>
                </a:ln>
              </c:spPr>
              <c:txPr>
                <a:bodyPr/>
                <a:lstStyle/>
                <a:p>
                  <a:pPr>
                    <a:defRPr lang="ru-RU" sz="1199" b="1" i="0" u="none" strike="noStrike" baseline="0">
                      <a:solidFill>
                        <a:schemeClr val="bg1"/>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F47-4AE5-BB12-3B2D5ED48300}"/>
                </c:ext>
              </c:extLst>
            </c:dLbl>
            <c:dLbl>
              <c:idx val="2"/>
              <c:layout>
                <c:manualLayout>
                  <c:x val="0"/>
                  <c:y val="0.1043295299165449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F47-4AE5-BB12-3B2D5ED48300}"/>
                </c:ext>
              </c:extLst>
            </c:dLbl>
            <c:spPr>
              <a:noFill/>
              <a:ln w="25384">
                <a:noFill/>
              </a:ln>
            </c:spPr>
            <c:txPr>
              <a:bodyPr wrap="square" lIns="38100" tIns="19050" rIns="38100" bIns="19050" anchor="ctr">
                <a:spAutoFit/>
              </a:bodyPr>
              <a:lstStyle/>
              <a:p>
                <a:pPr>
                  <a:defRPr lang="ru-RU" sz="1199" b="1" i="0" u="none" strike="noStrike" baseline="0">
                    <a:solidFill>
                      <a:schemeClr val="bg1"/>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2016</c:v>
                </c:pt>
                <c:pt idx="1">
                  <c:v>2017</c:v>
                </c:pt>
                <c:pt idx="2" formatCode="dd/mm/yyyy">
                  <c:v>43405</c:v>
                </c:pt>
              </c:numCache>
            </c:numRef>
          </c:cat>
          <c:val>
            <c:numRef>
              <c:f>Sheet1!$B$2:$D$2</c:f>
              <c:numCache>
                <c:formatCode>General</c:formatCode>
                <c:ptCount val="3"/>
                <c:pt idx="0">
                  <c:v>114.4</c:v>
                </c:pt>
                <c:pt idx="1">
                  <c:v>119</c:v>
                </c:pt>
                <c:pt idx="2">
                  <c:v>168.2</c:v>
                </c:pt>
              </c:numCache>
            </c:numRef>
          </c:val>
          <c:extLst xmlns:c16r2="http://schemas.microsoft.com/office/drawing/2015/06/chart">
            <c:ext xmlns:c16="http://schemas.microsoft.com/office/drawing/2014/chart" uri="{C3380CC4-5D6E-409C-BE32-E72D297353CC}">
              <c16:uniqueId val="{00000006-8F47-4AE5-BB12-3B2D5ED48300}"/>
            </c:ext>
          </c:extLst>
        </c:ser>
        <c:gapDepth val="0"/>
        <c:shape val="box"/>
        <c:axId val="102818944"/>
        <c:axId val="102820480"/>
        <c:axId val="0"/>
      </c:bar3DChart>
      <c:catAx>
        <c:axId val="102818944"/>
        <c:scaling>
          <c:orientation val="minMax"/>
        </c:scaling>
        <c:axPos val="b"/>
        <c:numFmt formatCode="General" sourceLinked="1"/>
        <c:tickLblPos val="low"/>
        <c:spPr>
          <a:ln w="3173">
            <a:solidFill>
              <a:srgbClr val="000000"/>
            </a:solidFill>
            <a:prstDash val="solid"/>
          </a:ln>
        </c:spPr>
        <c:txPr>
          <a:bodyPr rot="0" vert="horz"/>
          <a:lstStyle/>
          <a:p>
            <a:pPr>
              <a:defRPr lang="ru-RU" sz="1199" b="1" i="0" u="none" strike="noStrike" baseline="0">
                <a:solidFill>
                  <a:srgbClr val="000000"/>
                </a:solidFill>
                <a:latin typeface="Arial"/>
                <a:ea typeface="Arial"/>
                <a:cs typeface="Arial"/>
              </a:defRPr>
            </a:pPr>
            <a:endParaRPr lang="uk-UA"/>
          </a:p>
        </c:txPr>
        <c:crossAx val="102820480"/>
        <c:crosses val="autoZero"/>
        <c:auto val="1"/>
        <c:lblAlgn val="ctr"/>
        <c:lblOffset val="100"/>
        <c:tickLblSkip val="1"/>
        <c:tickMarkSkip val="1"/>
      </c:catAx>
      <c:valAx>
        <c:axId val="102820480"/>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lang="ru-RU" sz="1199" b="1" i="0" u="none" strike="noStrike" baseline="0">
                <a:solidFill>
                  <a:srgbClr val="000000"/>
                </a:solidFill>
                <a:latin typeface="Arial"/>
                <a:ea typeface="Arial"/>
                <a:cs typeface="Arial"/>
              </a:defRPr>
            </a:pPr>
            <a:endParaRPr lang="uk-UA"/>
          </a:p>
        </c:txPr>
        <c:crossAx val="102818944"/>
        <c:crosses val="autoZero"/>
        <c:crossBetween val="between"/>
        <c:majorUnit val="40"/>
      </c:valAx>
      <c:spPr>
        <a:noFill/>
        <a:ln w="25384">
          <a:noFill/>
        </a:ln>
      </c:spPr>
    </c:plotArea>
    <c:plotVisOnly val="1"/>
    <c:dispBlanksAs val="gap"/>
  </c:chart>
  <c:spPr>
    <a:noFill/>
    <a:ln>
      <a:noFill/>
    </a:ln>
  </c:spPr>
  <c:txPr>
    <a:bodyPr/>
    <a:lstStyle/>
    <a:p>
      <a:pPr>
        <a:defRPr sz="1249" b="1" i="0" u="none" strike="noStrike" baseline="0">
          <a:solidFill>
            <a:srgbClr val="000000"/>
          </a:solidFill>
          <a:latin typeface="Arial"/>
          <a:ea typeface="Arial"/>
          <a:cs typeface="Arial"/>
        </a:defRPr>
      </a:pPr>
      <a:endParaRPr lang="uk-UA"/>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view3D>
      <c:hPercent val="48"/>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7.1097372488408042E-2"/>
          <c:y val="4.0498442367601292E-2"/>
          <c:w val="0.91344667697063353"/>
          <c:h val="0.82554517133956384"/>
        </c:manualLayout>
      </c:layout>
      <c:bar3DChart>
        <c:barDir val="col"/>
        <c:grouping val="clustered"/>
        <c:ser>
          <c:idx val="0"/>
          <c:order val="0"/>
          <c:tx>
            <c:strRef>
              <c:f>Sheet1!$A$2</c:f>
              <c:strCache>
                <c:ptCount val="1"/>
                <c:pt idx="0">
                  <c:v>Восток</c:v>
                </c:pt>
              </c:strCache>
            </c:strRef>
          </c:tx>
          <c:spPr>
            <a:solidFill>
              <a:srgbClr val="3366FF"/>
            </a:solidFill>
            <a:ln w="12659">
              <a:solidFill>
                <a:srgbClr val="000000"/>
              </a:solidFill>
              <a:prstDash val="solid"/>
            </a:ln>
          </c:spPr>
          <c:dLbls>
            <c:dLbl>
              <c:idx val="0"/>
              <c:layout>
                <c:manualLayout>
                  <c:x val="1.6086302354829361E-3"/>
                  <c:y val="8.2450856784895846E-2"/>
                </c:manualLayout>
              </c:layout>
              <c:spPr>
                <a:noFill/>
                <a:ln w="25318">
                  <a:noFill/>
                </a:ln>
              </c:spPr>
              <c:txPr>
                <a:bodyPr/>
                <a:lstStyle/>
                <a:p>
                  <a:pPr>
                    <a:defRPr lang="ru-RU" sz="1196" b="1" i="0" u="none" strike="noStrike" baseline="0">
                      <a:solidFill>
                        <a:schemeClr val="bg1"/>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699-4230-95CB-31A27CD019FA}"/>
                </c:ext>
              </c:extLst>
            </c:dLbl>
            <c:dLbl>
              <c:idx val="1"/>
              <c:layout>
                <c:manualLayout>
                  <c:x val="-3.5600202321243554E-3"/>
                  <c:y val="8.6144428321082434E-2"/>
                </c:manualLayout>
              </c:layout>
              <c:spPr>
                <a:noFill/>
                <a:ln w="25318">
                  <a:noFill/>
                </a:ln>
              </c:spPr>
              <c:txPr>
                <a:bodyPr/>
                <a:lstStyle/>
                <a:p>
                  <a:pPr>
                    <a:defRPr lang="ru-RU" sz="1196" b="1" i="0" u="none" strike="noStrike" baseline="0">
                      <a:solidFill>
                        <a:schemeClr val="bg1"/>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699-4230-95CB-31A27CD019FA}"/>
                </c:ext>
              </c:extLst>
            </c:dLbl>
            <c:dLbl>
              <c:idx val="2"/>
              <c:layout>
                <c:manualLayout>
                  <c:x val="0"/>
                  <c:y val="8.45921450151057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699-4230-95CB-31A27CD019FA}"/>
                </c:ext>
              </c:extLst>
            </c:dLbl>
            <c:spPr>
              <a:noFill/>
              <a:ln w="25318">
                <a:noFill/>
              </a:ln>
            </c:spPr>
            <c:txPr>
              <a:bodyPr wrap="square" lIns="38100" tIns="19050" rIns="38100" bIns="19050" anchor="ctr">
                <a:spAutoFit/>
              </a:bodyPr>
              <a:lstStyle/>
              <a:p>
                <a:pPr>
                  <a:defRPr lang="ru-RU" sz="1196" b="1" i="0" u="none" strike="noStrike" baseline="0">
                    <a:solidFill>
                      <a:schemeClr val="bg1"/>
                    </a:solidFill>
                    <a:latin typeface="Arial"/>
                    <a:ea typeface="Arial"/>
                    <a:cs typeface="Arial"/>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2016</c:v>
                </c:pt>
                <c:pt idx="1">
                  <c:v>2017</c:v>
                </c:pt>
                <c:pt idx="2" formatCode="dd/mm/yyyy">
                  <c:v>43405</c:v>
                </c:pt>
              </c:numCache>
            </c:numRef>
          </c:cat>
          <c:val>
            <c:numRef>
              <c:f>Sheet1!$B$2:$D$2</c:f>
              <c:numCache>
                <c:formatCode>General</c:formatCode>
                <c:ptCount val="3"/>
                <c:pt idx="0">
                  <c:v>150</c:v>
                </c:pt>
                <c:pt idx="1">
                  <c:v>170</c:v>
                </c:pt>
                <c:pt idx="2">
                  <c:v>200</c:v>
                </c:pt>
              </c:numCache>
            </c:numRef>
          </c:val>
          <c:extLst xmlns:c16r2="http://schemas.microsoft.com/office/drawing/2015/06/chart">
            <c:ext xmlns:c16="http://schemas.microsoft.com/office/drawing/2014/chart" uri="{C3380CC4-5D6E-409C-BE32-E72D297353CC}">
              <c16:uniqueId val="{00000006-4699-4230-95CB-31A27CD019FA}"/>
            </c:ext>
          </c:extLst>
        </c:ser>
        <c:gapDepth val="0"/>
        <c:shape val="box"/>
        <c:axId val="105577472"/>
        <c:axId val="114041600"/>
        <c:axId val="0"/>
      </c:bar3DChart>
      <c:catAx>
        <c:axId val="105577472"/>
        <c:scaling>
          <c:orientation val="minMax"/>
        </c:scaling>
        <c:axPos val="b"/>
        <c:numFmt formatCode="General" sourceLinked="1"/>
        <c:tickLblPos val="low"/>
        <c:spPr>
          <a:ln w="3165">
            <a:solidFill>
              <a:srgbClr val="000000"/>
            </a:solidFill>
            <a:prstDash val="solid"/>
          </a:ln>
        </c:spPr>
        <c:txPr>
          <a:bodyPr rot="0" vert="horz"/>
          <a:lstStyle/>
          <a:p>
            <a:pPr>
              <a:defRPr lang="ru-RU" sz="1196" b="1" i="0" u="none" strike="noStrike" baseline="0">
                <a:solidFill>
                  <a:srgbClr val="000000"/>
                </a:solidFill>
                <a:latin typeface="Arial"/>
                <a:ea typeface="Arial"/>
                <a:cs typeface="Arial"/>
              </a:defRPr>
            </a:pPr>
            <a:endParaRPr lang="uk-UA"/>
          </a:p>
        </c:txPr>
        <c:crossAx val="114041600"/>
        <c:crosses val="autoZero"/>
        <c:auto val="1"/>
        <c:lblAlgn val="ctr"/>
        <c:lblOffset val="100"/>
        <c:tickLblSkip val="1"/>
        <c:tickMarkSkip val="1"/>
      </c:catAx>
      <c:valAx>
        <c:axId val="114041600"/>
        <c:scaling>
          <c:orientation val="minMax"/>
        </c:scaling>
        <c:axPos val="l"/>
        <c:majorGridlines>
          <c:spPr>
            <a:ln w="3165">
              <a:solidFill>
                <a:srgbClr val="000000"/>
              </a:solidFill>
              <a:prstDash val="solid"/>
            </a:ln>
          </c:spPr>
        </c:majorGridlines>
        <c:numFmt formatCode="General" sourceLinked="1"/>
        <c:tickLblPos val="nextTo"/>
        <c:spPr>
          <a:ln w="3165">
            <a:solidFill>
              <a:srgbClr val="000000"/>
            </a:solidFill>
            <a:prstDash val="solid"/>
          </a:ln>
        </c:spPr>
        <c:txPr>
          <a:bodyPr rot="0" vert="horz"/>
          <a:lstStyle/>
          <a:p>
            <a:pPr>
              <a:defRPr lang="ru-RU" sz="1196" b="1" i="0" u="none" strike="noStrike" baseline="0">
                <a:solidFill>
                  <a:srgbClr val="000000"/>
                </a:solidFill>
                <a:latin typeface="Arial"/>
                <a:ea typeface="Arial"/>
                <a:cs typeface="Arial"/>
              </a:defRPr>
            </a:pPr>
            <a:endParaRPr lang="uk-UA"/>
          </a:p>
        </c:txPr>
        <c:crossAx val="105577472"/>
        <c:crosses val="autoZero"/>
        <c:crossBetween val="between"/>
        <c:majorUnit val="40"/>
      </c:valAx>
      <c:spPr>
        <a:noFill/>
        <a:ln w="25318">
          <a:noFill/>
        </a:ln>
      </c:spPr>
    </c:plotArea>
    <c:plotVisOnly val="1"/>
    <c:dispBlanksAs val="gap"/>
  </c:chart>
  <c:spPr>
    <a:noFill/>
    <a:ln>
      <a:noFill/>
    </a:ln>
  </c:spPr>
  <c:txPr>
    <a:bodyPr/>
    <a:lstStyle/>
    <a:p>
      <a:pPr>
        <a:defRPr sz="1395" b="1" i="0" u="none" strike="noStrike" baseline="0">
          <a:solidFill>
            <a:srgbClr val="000000"/>
          </a:solidFill>
          <a:latin typeface="Arial"/>
          <a:ea typeface="Arial"/>
          <a:cs typeface="Arial"/>
        </a:defRPr>
      </a:pPr>
      <a:endParaRPr lang="uk-UA"/>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15782</Words>
  <Characters>8996</Characters>
  <Application>Microsoft Office Word</Application>
  <DocSecurity>0</DocSecurity>
  <Lines>74</Lines>
  <Paragraphs>49</Paragraphs>
  <ScaleCrop>false</ScaleCrop>
  <Company>Reanimator Extreme Edition</Company>
  <LinksUpToDate>false</LinksUpToDate>
  <CharactersWithSpaces>24729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Чорній Ірина Мирославівна</dc:creator>
  <cp:lastModifiedBy>d03-Shulga</cp:lastModifiedBy>
  <cp:revision>1</cp:revision>
  <cp:lastPrinted>2017-12-11T10:45:00Z</cp:lastPrinted>
  <dcterms:created xsi:type="dcterms:W3CDTF">2018-11-23T09:50:00Z</dcterms:created>
  <dcterms:modified xsi:type="dcterms:W3CDTF">2018-11-23T09:50:00Z</dcterms:modified>
</cp:coreProperties>
</file>