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C6" w:rsidRPr="004B43C6" w:rsidRDefault="004B43C6" w:rsidP="004B43C6">
      <w:pPr>
        <w:jc w:val="center"/>
        <w:rPr>
          <w:b/>
          <w:color w:val="000000"/>
        </w:rPr>
      </w:pPr>
      <w:r w:rsidRPr="004B43C6">
        <w:rPr>
          <w:b/>
          <w:color w:val="000000"/>
        </w:rPr>
        <w:t>Аналіз регуляторного впливу</w:t>
      </w:r>
    </w:p>
    <w:p w:rsidR="004B43C6" w:rsidRPr="004B43C6" w:rsidRDefault="004B43C6" w:rsidP="004B43C6">
      <w:pPr>
        <w:jc w:val="center"/>
        <w:rPr>
          <w:b/>
          <w:color w:val="000000"/>
        </w:rPr>
      </w:pPr>
      <w:r w:rsidRPr="004B43C6">
        <w:rPr>
          <w:b/>
          <w:color w:val="000000"/>
        </w:rPr>
        <w:t>до проекту ріш</w:t>
      </w:r>
      <w:bookmarkStart w:id="0" w:name="_GoBack"/>
      <w:bookmarkEnd w:id="0"/>
      <w:r w:rsidRPr="004B43C6">
        <w:rPr>
          <w:b/>
          <w:color w:val="000000"/>
        </w:rPr>
        <w:t>ення міської ради</w:t>
      </w:r>
    </w:p>
    <w:p w:rsidR="004B43C6" w:rsidRPr="004B43C6" w:rsidRDefault="004B43C6" w:rsidP="004B43C6">
      <w:pPr>
        <w:pStyle w:val="a3"/>
        <w:jc w:val="center"/>
        <w:rPr>
          <w:rFonts w:ascii="Times New Roman" w:hAnsi="Times New Roman"/>
          <w:b/>
        </w:rPr>
      </w:pPr>
      <w:r w:rsidRPr="004B43C6">
        <w:rPr>
          <w:rFonts w:ascii="Times New Roman" w:hAnsi="Times New Roman"/>
          <w:b/>
        </w:rPr>
        <w:t xml:space="preserve">«Про </w:t>
      </w:r>
      <w:proofErr w:type="spellStart"/>
      <w:r w:rsidRPr="004B43C6">
        <w:rPr>
          <w:rFonts w:ascii="Times New Roman" w:hAnsi="Times New Roman"/>
          <w:b/>
        </w:rPr>
        <w:t>внесення</w:t>
      </w:r>
      <w:proofErr w:type="spellEnd"/>
      <w:r w:rsidRPr="004B43C6">
        <w:rPr>
          <w:rFonts w:ascii="Times New Roman" w:hAnsi="Times New Roman"/>
          <w:b/>
        </w:rPr>
        <w:t xml:space="preserve"> </w:t>
      </w:r>
      <w:proofErr w:type="spellStart"/>
      <w:r w:rsidRPr="004B43C6">
        <w:rPr>
          <w:rFonts w:ascii="Times New Roman" w:hAnsi="Times New Roman"/>
          <w:b/>
        </w:rPr>
        <w:t>змін</w:t>
      </w:r>
      <w:proofErr w:type="spellEnd"/>
      <w:r w:rsidRPr="004B43C6">
        <w:rPr>
          <w:rFonts w:ascii="Times New Roman" w:hAnsi="Times New Roman"/>
          <w:b/>
        </w:rPr>
        <w:t xml:space="preserve"> та </w:t>
      </w:r>
      <w:proofErr w:type="spellStart"/>
      <w:r w:rsidRPr="004B43C6">
        <w:rPr>
          <w:rFonts w:ascii="Times New Roman" w:hAnsi="Times New Roman"/>
          <w:b/>
        </w:rPr>
        <w:t>доповнень</w:t>
      </w:r>
      <w:proofErr w:type="spellEnd"/>
      <w:r w:rsidRPr="004B43C6">
        <w:rPr>
          <w:rFonts w:ascii="Times New Roman" w:hAnsi="Times New Roman"/>
          <w:b/>
        </w:rPr>
        <w:t xml:space="preserve"> до Правил благоустрою</w:t>
      </w:r>
    </w:p>
    <w:p w:rsidR="004B43C6" w:rsidRPr="004B43C6" w:rsidRDefault="004B43C6" w:rsidP="004B43C6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B43C6">
        <w:rPr>
          <w:rFonts w:ascii="Times New Roman" w:hAnsi="Times New Roman"/>
          <w:b/>
        </w:rPr>
        <w:t>м.Тернополя</w:t>
      </w:r>
      <w:proofErr w:type="spellEnd"/>
      <w:r w:rsidRPr="004B43C6">
        <w:rPr>
          <w:rFonts w:ascii="Times New Roman" w:hAnsi="Times New Roman"/>
          <w:b/>
        </w:rPr>
        <w:t xml:space="preserve">, </w:t>
      </w:r>
      <w:proofErr w:type="spellStart"/>
      <w:r w:rsidRPr="004B43C6">
        <w:rPr>
          <w:rFonts w:ascii="Times New Roman" w:hAnsi="Times New Roman"/>
          <w:b/>
        </w:rPr>
        <w:t>затверджених</w:t>
      </w:r>
      <w:proofErr w:type="spellEnd"/>
      <w:r w:rsidRPr="004B43C6">
        <w:rPr>
          <w:rFonts w:ascii="Times New Roman" w:hAnsi="Times New Roman"/>
          <w:b/>
        </w:rPr>
        <w:t xml:space="preserve"> </w:t>
      </w:r>
      <w:proofErr w:type="spellStart"/>
      <w:r w:rsidRPr="004B43C6">
        <w:rPr>
          <w:rFonts w:ascii="Times New Roman" w:hAnsi="Times New Roman"/>
          <w:b/>
        </w:rPr>
        <w:t>рішенням</w:t>
      </w:r>
      <w:proofErr w:type="spellEnd"/>
      <w:r w:rsidRPr="004B43C6">
        <w:rPr>
          <w:rFonts w:ascii="Times New Roman" w:hAnsi="Times New Roman"/>
          <w:b/>
        </w:rPr>
        <w:t xml:space="preserve"> </w:t>
      </w:r>
      <w:proofErr w:type="spellStart"/>
      <w:r w:rsidRPr="004B43C6">
        <w:rPr>
          <w:rFonts w:ascii="Times New Roman" w:hAnsi="Times New Roman"/>
          <w:b/>
        </w:rPr>
        <w:t>міської</w:t>
      </w:r>
      <w:proofErr w:type="spellEnd"/>
      <w:r w:rsidRPr="004B43C6">
        <w:rPr>
          <w:rFonts w:ascii="Times New Roman" w:hAnsi="Times New Roman"/>
          <w:b/>
        </w:rPr>
        <w:t xml:space="preserve"> ради</w:t>
      </w:r>
    </w:p>
    <w:p w:rsidR="004B43C6" w:rsidRPr="004B43C6" w:rsidRDefault="004B43C6" w:rsidP="004B43C6">
      <w:pPr>
        <w:pStyle w:val="a3"/>
        <w:jc w:val="center"/>
        <w:rPr>
          <w:rFonts w:ascii="Times New Roman" w:hAnsi="Times New Roman"/>
          <w:b/>
          <w:color w:val="000000"/>
        </w:rPr>
      </w:pPr>
      <w:proofErr w:type="spellStart"/>
      <w:r w:rsidRPr="004B43C6">
        <w:rPr>
          <w:rFonts w:ascii="Times New Roman" w:hAnsi="Times New Roman"/>
          <w:b/>
        </w:rPr>
        <w:t>від</w:t>
      </w:r>
      <w:proofErr w:type="spellEnd"/>
      <w:r w:rsidRPr="004B43C6">
        <w:rPr>
          <w:rFonts w:ascii="Times New Roman" w:hAnsi="Times New Roman"/>
          <w:b/>
        </w:rPr>
        <w:t xml:space="preserve"> 19.05.2011р. №6/8/20».</w:t>
      </w:r>
    </w:p>
    <w:p w:rsidR="004B43C6" w:rsidRPr="000B58FC" w:rsidRDefault="004B43C6" w:rsidP="004B43C6">
      <w:pPr>
        <w:pStyle w:val="3"/>
        <w:jc w:val="right"/>
        <w:rPr>
          <w:bCs w:val="0"/>
          <w:sz w:val="24"/>
        </w:rPr>
      </w:pPr>
    </w:p>
    <w:p w:rsidR="004B43C6" w:rsidRPr="000B58FC" w:rsidRDefault="004B43C6" w:rsidP="004B43C6">
      <w:pPr>
        <w:pStyle w:val="a3"/>
        <w:jc w:val="both"/>
        <w:rPr>
          <w:rFonts w:ascii="Times New Roman" w:hAnsi="Times New Roman"/>
        </w:rPr>
      </w:pPr>
      <w:proofErr w:type="spellStart"/>
      <w:r w:rsidRPr="000B58FC">
        <w:rPr>
          <w:rFonts w:ascii="Times New Roman" w:hAnsi="Times New Roman"/>
        </w:rPr>
        <w:t>Назва</w:t>
      </w:r>
      <w:proofErr w:type="spellEnd"/>
      <w:r w:rsidRPr="000B58FC">
        <w:rPr>
          <w:rFonts w:ascii="Times New Roman" w:hAnsi="Times New Roman"/>
        </w:rPr>
        <w:t xml:space="preserve"> регуляторного акта: «Про </w:t>
      </w:r>
      <w:proofErr w:type="spellStart"/>
      <w:r w:rsidRPr="000B58FC">
        <w:rPr>
          <w:rFonts w:ascii="Times New Roman" w:hAnsi="Times New Roman"/>
        </w:rPr>
        <w:t>внесення</w:t>
      </w:r>
      <w:proofErr w:type="spellEnd"/>
      <w:r w:rsidRPr="000B58FC">
        <w:rPr>
          <w:rFonts w:ascii="Times New Roman" w:hAnsi="Times New Roman"/>
        </w:rPr>
        <w:t xml:space="preserve"> </w:t>
      </w:r>
      <w:proofErr w:type="spellStart"/>
      <w:r w:rsidRPr="000B58FC">
        <w:rPr>
          <w:rFonts w:ascii="Times New Roman" w:hAnsi="Times New Roman"/>
        </w:rPr>
        <w:t>змін</w:t>
      </w:r>
      <w:proofErr w:type="spellEnd"/>
      <w:r w:rsidRPr="000B58FC">
        <w:rPr>
          <w:rFonts w:ascii="Times New Roman" w:hAnsi="Times New Roman"/>
        </w:rPr>
        <w:t xml:space="preserve"> та </w:t>
      </w:r>
      <w:proofErr w:type="spellStart"/>
      <w:r w:rsidRPr="000B58FC">
        <w:rPr>
          <w:rFonts w:ascii="Times New Roman" w:hAnsi="Times New Roman"/>
        </w:rPr>
        <w:t>доповнень</w:t>
      </w:r>
      <w:proofErr w:type="spellEnd"/>
      <w:r w:rsidRPr="000B58FC">
        <w:rPr>
          <w:rFonts w:ascii="Times New Roman" w:hAnsi="Times New Roman"/>
        </w:rPr>
        <w:t xml:space="preserve"> до Правил благоустрою</w:t>
      </w:r>
    </w:p>
    <w:p w:rsidR="004B43C6" w:rsidRPr="000B58FC" w:rsidRDefault="004B43C6" w:rsidP="004B43C6">
      <w:pPr>
        <w:pStyle w:val="a3"/>
        <w:jc w:val="both"/>
        <w:rPr>
          <w:rFonts w:ascii="Times New Roman" w:hAnsi="Times New Roman"/>
          <w:color w:val="000000"/>
        </w:rPr>
      </w:pPr>
      <w:r w:rsidRPr="000B58FC">
        <w:rPr>
          <w:rFonts w:ascii="Times New Roman" w:hAnsi="Times New Roman"/>
        </w:rPr>
        <w:t xml:space="preserve">             </w:t>
      </w:r>
      <w:proofErr w:type="spellStart"/>
      <w:r w:rsidRPr="000B58FC">
        <w:rPr>
          <w:rFonts w:ascii="Times New Roman" w:hAnsi="Times New Roman"/>
        </w:rPr>
        <w:t>м.Тернополя</w:t>
      </w:r>
      <w:proofErr w:type="spellEnd"/>
      <w:r w:rsidRPr="000B58FC">
        <w:rPr>
          <w:rFonts w:ascii="Times New Roman" w:hAnsi="Times New Roman"/>
        </w:rPr>
        <w:t xml:space="preserve">, </w:t>
      </w:r>
      <w:proofErr w:type="spellStart"/>
      <w:r w:rsidRPr="000B58FC">
        <w:rPr>
          <w:rFonts w:ascii="Times New Roman" w:hAnsi="Times New Roman"/>
        </w:rPr>
        <w:t>затверджених</w:t>
      </w:r>
      <w:proofErr w:type="spellEnd"/>
      <w:r w:rsidRPr="000B58FC">
        <w:rPr>
          <w:rFonts w:ascii="Times New Roman" w:hAnsi="Times New Roman"/>
        </w:rPr>
        <w:t xml:space="preserve"> </w:t>
      </w:r>
      <w:proofErr w:type="spellStart"/>
      <w:r w:rsidRPr="000B58FC">
        <w:rPr>
          <w:rFonts w:ascii="Times New Roman" w:hAnsi="Times New Roman"/>
        </w:rPr>
        <w:t>рішенням</w:t>
      </w:r>
      <w:proofErr w:type="spellEnd"/>
      <w:r w:rsidRPr="000B58FC">
        <w:rPr>
          <w:rFonts w:ascii="Times New Roman" w:hAnsi="Times New Roman"/>
        </w:rPr>
        <w:t xml:space="preserve"> </w:t>
      </w:r>
      <w:proofErr w:type="spellStart"/>
      <w:r w:rsidRPr="000B58FC">
        <w:rPr>
          <w:rFonts w:ascii="Times New Roman" w:hAnsi="Times New Roman"/>
        </w:rPr>
        <w:t>міської</w:t>
      </w:r>
      <w:proofErr w:type="spellEnd"/>
      <w:r w:rsidRPr="000B58FC">
        <w:rPr>
          <w:rFonts w:ascii="Times New Roman" w:hAnsi="Times New Roman"/>
        </w:rPr>
        <w:t xml:space="preserve"> ради </w:t>
      </w:r>
      <w:proofErr w:type="spellStart"/>
      <w:r w:rsidRPr="000B58FC">
        <w:rPr>
          <w:rFonts w:ascii="Times New Roman" w:hAnsi="Times New Roman"/>
        </w:rPr>
        <w:t>від</w:t>
      </w:r>
      <w:proofErr w:type="spellEnd"/>
      <w:r w:rsidRPr="000B58FC">
        <w:rPr>
          <w:rFonts w:ascii="Times New Roman" w:hAnsi="Times New Roman"/>
        </w:rPr>
        <w:t xml:space="preserve"> 19.05.2011р. №6/8/20».</w:t>
      </w:r>
    </w:p>
    <w:p w:rsidR="004B43C6" w:rsidRPr="000B58FC" w:rsidRDefault="004B43C6" w:rsidP="004B43C6">
      <w:pPr>
        <w:jc w:val="both"/>
      </w:pPr>
    </w:p>
    <w:p w:rsidR="004B43C6" w:rsidRPr="00E34237" w:rsidRDefault="004B43C6" w:rsidP="004B43C6">
      <w:pPr>
        <w:jc w:val="both"/>
      </w:pPr>
      <w:r w:rsidRPr="00E34237">
        <w:t>Регуляторний орган: виконавчий комітет Тернопільської міської ради</w:t>
      </w:r>
    </w:p>
    <w:p w:rsidR="004B43C6" w:rsidRPr="00E34237" w:rsidRDefault="004B43C6" w:rsidP="004B43C6">
      <w:pPr>
        <w:jc w:val="both"/>
      </w:pPr>
      <w:r w:rsidRPr="00E34237">
        <w:t>Розробник документа: управління житлово-комунального господарства, благоустрою та екології Тернопільської міської ради</w:t>
      </w:r>
    </w:p>
    <w:p w:rsidR="004B43C6" w:rsidRPr="00E34237" w:rsidRDefault="004B43C6" w:rsidP="004B43C6">
      <w:r w:rsidRPr="00E34237">
        <w:t>Контактний телефон: 52-58-48</w:t>
      </w:r>
    </w:p>
    <w:p w:rsidR="004B43C6" w:rsidRDefault="004B43C6" w:rsidP="004B43C6">
      <w:pPr>
        <w:ind w:left="708" w:firstLine="60"/>
        <w:contextualSpacing/>
      </w:pPr>
    </w:p>
    <w:p w:rsidR="004B43C6" w:rsidRDefault="004B43C6" w:rsidP="004B43C6">
      <w:pPr>
        <w:widowControl w:val="0"/>
        <w:numPr>
          <w:ilvl w:val="0"/>
          <w:numId w:val="1"/>
        </w:numPr>
        <w:adjustRightInd w:val="0"/>
        <w:spacing w:line="360" w:lineRule="atLeast"/>
        <w:contextualSpacing/>
        <w:jc w:val="both"/>
      </w:pPr>
      <w:r>
        <w:t>Визначення проблеми, яку передбачається розв’язати шляхом регулювання</w:t>
      </w:r>
    </w:p>
    <w:p w:rsidR="004B43C6" w:rsidRDefault="004B43C6" w:rsidP="004B43C6">
      <w:pPr>
        <w:ind w:firstLine="1128"/>
        <w:contextualSpacing/>
        <w:jc w:val="both"/>
      </w:pPr>
      <w:r>
        <w:t xml:space="preserve"> З 01 січня 2018 року набули чинності зміни до Закону України «Про відходи» згідно з якими «забороняється з 1 січня 2018 року захоронення на полігонах неперероблених (необроблених) побутових відходів». Вказаний пункт складений у відповідності до двох Директив ЄС – 1999/31/EC та 2008/98/EC, які врегульовують поводження із відходами у країнах Європи. Ці документи вказують, що саме необхідно робити з відходами, класифікують їх і описують стратегію скорочення кількості вивезених на сміттєзвалище відходів. У зв’язку з тим, що ЗУ «Про відходи» не встановлено механізму сортування відходів, даним регуляторним актом пропонуються заходи, які регламентуватимуть сортування відходів у місті.</w:t>
      </w:r>
    </w:p>
    <w:p w:rsidR="004B43C6" w:rsidRDefault="004B43C6" w:rsidP="004B43C6">
      <w:pPr>
        <w:ind w:left="768"/>
        <w:contextualSpacing/>
        <w:jc w:val="both"/>
      </w:pPr>
    </w:p>
    <w:p w:rsidR="004B43C6" w:rsidRPr="00631625" w:rsidRDefault="004B43C6" w:rsidP="004B43C6">
      <w:pPr>
        <w:ind w:left="768"/>
        <w:contextualSpacing/>
        <w:jc w:val="both"/>
        <w:rPr>
          <w:sz w:val="28"/>
          <w:szCs w:val="28"/>
        </w:rPr>
      </w:pPr>
      <w:r>
        <w:t>2.Цілі регулювання</w:t>
      </w:r>
    </w:p>
    <w:p w:rsidR="004B43C6" w:rsidRPr="003E2DD9" w:rsidRDefault="004B43C6" w:rsidP="004B43C6">
      <w:pPr>
        <w:ind w:firstLine="709"/>
        <w:jc w:val="both"/>
      </w:pPr>
      <w:r w:rsidRPr="003E2DD9">
        <w:t xml:space="preserve"> Метою запропонованого регуляторного акту є  заходи для забезпечення роздільного сортування відходів ( змішаних, полімерів та скла)  і  </w:t>
      </w:r>
      <w:r w:rsidRPr="003E2DD9">
        <w:rPr>
          <w:color w:val="000000"/>
        </w:rPr>
        <w:t xml:space="preserve">виконання  робіт з належного утримання елементів благоустрою та санітарно-епідеміологічного стану у сфері поводження з відходами </w:t>
      </w:r>
      <w:r w:rsidRPr="003E2DD9">
        <w:t xml:space="preserve">у відповідності до вимог ДБН В.2.2-15-2005 "Житлові будинки. Основні положення". </w:t>
      </w:r>
    </w:p>
    <w:p w:rsidR="004B43C6" w:rsidRPr="003E2DD9" w:rsidRDefault="004B43C6" w:rsidP="004B43C6">
      <w:pPr>
        <w:ind w:left="142" w:firstLine="566"/>
        <w:contextualSpacing/>
        <w:jc w:val="both"/>
      </w:pPr>
    </w:p>
    <w:p w:rsidR="004B43C6" w:rsidRDefault="004B43C6" w:rsidP="004B43C6">
      <w:pPr>
        <w:widowControl w:val="0"/>
        <w:numPr>
          <w:ilvl w:val="0"/>
          <w:numId w:val="2"/>
        </w:numPr>
        <w:adjustRightInd w:val="0"/>
        <w:spacing w:line="360" w:lineRule="atLeast"/>
        <w:contextualSpacing/>
        <w:jc w:val="both"/>
      </w:pPr>
      <w:r>
        <w:t>Визначення та оцінка альтернативних способів досягнення встановлених цілей</w:t>
      </w:r>
    </w:p>
    <w:p w:rsidR="004B43C6" w:rsidRDefault="004B43C6" w:rsidP="004B43C6">
      <w:pPr>
        <w:ind w:firstLine="708"/>
        <w:contextualSpacing/>
        <w:jc w:val="both"/>
      </w:pPr>
      <w:r>
        <w:t xml:space="preserve"> У процесі пошуку альтернативних способів досягнення встановленої мети доцільно розглянути наступне:</w:t>
      </w:r>
    </w:p>
    <w:p w:rsidR="004B43C6" w:rsidRDefault="004B43C6" w:rsidP="004B43C6">
      <w:pPr>
        <w:contextualSpacing/>
        <w:jc w:val="both"/>
      </w:pPr>
      <w:r>
        <w:t xml:space="preserve">    Збереження існуючого стану. </w:t>
      </w:r>
    </w:p>
    <w:p w:rsidR="004B43C6" w:rsidRDefault="004B43C6" w:rsidP="004B43C6">
      <w:pPr>
        <w:contextualSpacing/>
        <w:jc w:val="both"/>
      </w:pPr>
      <w:r>
        <w:t xml:space="preserve">    Прийняття регуляторного акту. </w:t>
      </w:r>
    </w:p>
    <w:p w:rsidR="004B43C6" w:rsidRDefault="004B43C6" w:rsidP="004B43C6">
      <w:pPr>
        <w:ind w:firstLine="708"/>
        <w:contextualSpacing/>
        <w:jc w:val="both"/>
      </w:pPr>
      <w:r>
        <w:t xml:space="preserve">Відмова від прийняття запропонованого акту, тобто збереження існуючого стану, залишить не вирішеним питання щодо ситуацією з відходами, їх накопичення на міському сміттєзвалищі та подальше розширення площ під відходами. </w:t>
      </w:r>
    </w:p>
    <w:p w:rsidR="004B43C6" w:rsidRDefault="004B43C6" w:rsidP="004B43C6">
      <w:pPr>
        <w:ind w:firstLine="708"/>
        <w:contextualSpacing/>
        <w:jc w:val="both"/>
      </w:pPr>
      <w:r>
        <w:t>Прийняття рішення дасть можливість врегулювати всі права та обов’язки учасників правовідносин щодо сортування відходів відповідно до чинних нормативно-правових актів. Даний спосіб найбільш ефективний для реалізації цілей.</w:t>
      </w:r>
    </w:p>
    <w:p w:rsidR="004B43C6" w:rsidRDefault="004B43C6" w:rsidP="004B43C6">
      <w:pPr>
        <w:ind w:firstLine="708"/>
        <w:contextualSpacing/>
        <w:jc w:val="both"/>
      </w:pPr>
      <w:r>
        <w:t xml:space="preserve"> Перевагою обраного способу є формування прозорих вимог до проведення в місті єдиної політики щодо поводження з побутовими відходами, формування сприятливого для життєдіяльності людини середовища, раціонального використання ресурсів громади та охорона довкілля. </w:t>
      </w:r>
    </w:p>
    <w:p w:rsidR="004B43C6" w:rsidRDefault="004B43C6" w:rsidP="004B43C6">
      <w:pPr>
        <w:widowControl w:val="0"/>
        <w:numPr>
          <w:ilvl w:val="0"/>
          <w:numId w:val="2"/>
        </w:numPr>
        <w:adjustRightInd w:val="0"/>
        <w:spacing w:line="360" w:lineRule="atLeast"/>
        <w:contextualSpacing/>
        <w:jc w:val="both"/>
      </w:pPr>
      <w:r>
        <w:t>Механізм та заходи, що пропонуються для розв’язання проблеми</w:t>
      </w:r>
    </w:p>
    <w:p w:rsidR="004B43C6" w:rsidRDefault="004B43C6" w:rsidP="004B43C6">
      <w:pPr>
        <w:ind w:firstLine="1128"/>
        <w:contextualSpacing/>
        <w:jc w:val="both"/>
      </w:pPr>
      <w:r>
        <w:t xml:space="preserve"> Шляхом встановлення чітких правил та заходів щодо їх впровадження додається достатньо нормативної бази для забезпечення врегульованих прав та обов’язків учасників правовідносин у сфері благоустрою території міста.</w:t>
      </w:r>
    </w:p>
    <w:p w:rsidR="004B43C6" w:rsidRDefault="004B43C6" w:rsidP="004B43C6">
      <w:pPr>
        <w:ind w:firstLine="1128"/>
        <w:contextualSpacing/>
        <w:jc w:val="both"/>
      </w:pPr>
    </w:p>
    <w:p w:rsidR="004B43C6" w:rsidRDefault="004B43C6" w:rsidP="004B43C6">
      <w:pPr>
        <w:widowControl w:val="0"/>
        <w:numPr>
          <w:ilvl w:val="0"/>
          <w:numId w:val="2"/>
        </w:numPr>
        <w:adjustRightInd w:val="0"/>
        <w:spacing w:line="360" w:lineRule="atLeast"/>
        <w:contextualSpacing/>
        <w:jc w:val="both"/>
      </w:pPr>
      <w:r>
        <w:t>Можливість досягнення визначених цілей у разі прийняття регуляторного акту</w:t>
      </w:r>
    </w:p>
    <w:p w:rsidR="004B43C6" w:rsidRDefault="004B43C6" w:rsidP="004B43C6">
      <w:pPr>
        <w:ind w:firstLine="768"/>
        <w:contextualSpacing/>
        <w:jc w:val="both"/>
      </w:pPr>
      <w:r>
        <w:t xml:space="preserve"> Пропонований регуляторний акт розроблено з урахуванням передового досвіду європейських країн, які успішно впровадили та застосовують систему сортування відходів. </w:t>
      </w:r>
    </w:p>
    <w:p w:rsidR="004B43C6" w:rsidRDefault="004B43C6" w:rsidP="004B43C6">
      <w:pPr>
        <w:ind w:firstLine="768"/>
        <w:contextualSpacing/>
        <w:jc w:val="both"/>
      </w:pPr>
    </w:p>
    <w:p w:rsidR="004B43C6" w:rsidRDefault="004B43C6" w:rsidP="004B43C6">
      <w:pPr>
        <w:widowControl w:val="0"/>
        <w:numPr>
          <w:ilvl w:val="0"/>
          <w:numId w:val="2"/>
        </w:numPr>
        <w:adjustRightInd w:val="0"/>
        <w:spacing w:line="360" w:lineRule="atLeast"/>
        <w:contextualSpacing/>
        <w:jc w:val="both"/>
      </w:pPr>
      <w:r>
        <w:t xml:space="preserve">Очікувані результати від прийняття регуляторного акту. Аналіз </w:t>
      </w:r>
      <w:proofErr w:type="spellStart"/>
      <w:r>
        <w:t>вигод</w:t>
      </w:r>
      <w:proofErr w:type="spellEnd"/>
      <w:r>
        <w:t xml:space="preserve"> та витрат. </w:t>
      </w:r>
    </w:p>
    <w:p w:rsidR="004B43C6" w:rsidRDefault="004B43C6" w:rsidP="004B43C6">
      <w:pPr>
        <w:contextualSpacing/>
        <w:jc w:val="both"/>
        <w:rPr>
          <w:sz w:val="28"/>
          <w:szCs w:val="28"/>
        </w:rPr>
      </w:pPr>
      <w:r>
        <w:lastRenderedPageBreak/>
        <w:t xml:space="preserve">        Визначення очікуваних результатів прийняття запропонованого регуляторного акту припускає наведення аналізу </w:t>
      </w:r>
      <w:proofErr w:type="spellStart"/>
      <w:r>
        <w:t>вигод</w:t>
      </w:r>
      <w:proofErr w:type="spellEnd"/>
      <w:r>
        <w:t xml:space="preserve"> та витрат, що</w:t>
      </w:r>
      <w:r w:rsidRPr="00DD7F74">
        <w:t xml:space="preserve"> </w:t>
      </w:r>
      <w:r>
        <w:t xml:space="preserve">виникають у різних груп суб’єктів, на які поширюється дія цього </w:t>
      </w:r>
      <w:proofErr w:type="spellStart"/>
      <w:r>
        <w:t>акта</w:t>
      </w:r>
      <w:proofErr w:type="spellEnd"/>
      <w:r>
        <w:t>. Даний регуляторний акт певним чином впливає на інтереси суб’єктів господарювання, громадян та органів місцевого самоврядування, які мають різний характер і соціальний ефект.</w:t>
      </w:r>
    </w:p>
    <w:p w:rsidR="004B43C6" w:rsidRDefault="004B43C6" w:rsidP="004B43C6">
      <w:pPr>
        <w:ind w:left="142" w:firstLine="566"/>
        <w:contextualSpacing/>
        <w:rPr>
          <w:sz w:val="28"/>
          <w:szCs w:val="28"/>
        </w:rPr>
      </w:pPr>
    </w:p>
    <w:p w:rsidR="004B43C6" w:rsidRDefault="004B43C6" w:rsidP="004B43C6">
      <w:pPr>
        <w:ind w:left="142" w:firstLine="566"/>
        <w:contextualSpacing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260"/>
      </w:tblGrid>
      <w:tr w:rsidR="004B43C6" w:rsidRPr="00957597" w:rsidTr="00B400EA">
        <w:tc>
          <w:tcPr>
            <w:tcW w:w="2093" w:type="dxa"/>
          </w:tcPr>
          <w:p w:rsidR="004B43C6" w:rsidRPr="00957597" w:rsidRDefault="004B43C6" w:rsidP="00B400EA">
            <w:pPr>
              <w:contextualSpacing/>
              <w:rPr>
                <w:sz w:val="28"/>
                <w:szCs w:val="28"/>
              </w:rPr>
            </w:pPr>
            <w:r>
              <w:t>Сфера впливу</w:t>
            </w:r>
          </w:p>
        </w:tc>
        <w:tc>
          <w:tcPr>
            <w:tcW w:w="4536" w:type="dxa"/>
          </w:tcPr>
          <w:p w:rsidR="004B43C6" w:rsidRPr="00957597" w:rsidRDefault="004B43C6" w:rsidP="00B400EA">
            <w:pPr>
              <w:contextualSpacing/>
              <w:rPr>
                <w:sz w:val="28"/>
                <w:szCs w:val="28"/>
              </w:rPr>
            </w:pPr>
            <w:r>
              <w:t>Вигоди</w:t>
            </w:r>
          </w:p>
        </w:tc>
        <w:tc>
          <w:tcPr>
            <w:tcW w:w="3260" w:type="dxa"/>
          </w:tcPr>
          <w:p w:rsidR="004B43C6" w:rsidRPr="00957597" w:rsidRDefault="004B43C6" w:rsidP="00B400EA">
            <w:pPr>
              <w:contextualSpacing/>
              <w:rPr>
                <w:sz w:val="28"/>
                <w:szCs w:val="28"/>
              </w:rPr>
            </w:pPr>
            <w:r>
              <w:t>Витрати</w:t>
            </w:r>
          </w:p>
        </w:tc>
      </w:tr>
      <w:tr w:rsidR="004B43C6" w:rsidRPr="00957597" w:rsidTr="00B400EA">
        <w:tc>
          <w:tcPr>
            <w:tcW w:w="2093" w:type="dxa"/>
          </w:tcPr>
          <w:p w:rsidR="004B43C6" w:rsidRPr="00957597" w:rsidRDefault="004B43C6" w:rsidP="00B400EA">
            <w:pPr>
              <w:contextualSpacing/>
              <w:rPr>
                <w:sz w:val="28"/>
                <w:szCs w:val="28"/>
              </w:rPr>
            </w:pPr>
            <w:r>
              <w:t>Територіальна громада</w:t>
            </w:r>
          </w:p>
        </w:tc>
        <w:tc>
          <w:tcPr>
            <w:tcW w:w="4536" w:type="dxa"/>
          </w:tcPr>
          <w:p w:rsidR="004B43C6" w:rsidRDefault="004B43C6" w:rsidP="00B400EA">
            <w:pPr>
              <w:contextualSpacing/>
            </w:pPr>
            <w:r>
              <w:t xml:space="preserve">- покращення санітарного стану міста; </w:t>
            </w:r>
          </w:p>
          <w:p w:rsidR="004B43C6" w:rsidRDefault="004B43C6" w:rsidP="00B400EA">
            <w:pPr>
              <w:contextualSpacing/>
            </w:pPr>
            <w:r>
              <w:t>- відкритість та доступність для громадян інформації про благоустрій населених пунктів;</w:t>
            </w:r>
          </w:p>
          <w:p w:rsidR="004B43C6" w:rsidRPr="002F042F" w:rsidRDefault="004B43C6" w:rsidP="00B400EA">
            <w:pPr>
              <w:contextualSpacing/>
            </w:pPr>
            <w:r>
              <w:t>- поліпшення зовнішнього благоустрою міста, естетичного вигляду об'єктів благоустрою (вулиць, скверів, площ, зупинок громадського транспорту, контейнерних майданчиків, тощо).</w:t>
            </w:r>
          </w:p>
        </w:tc>
        <w:tc>
          <w:tcPr>
            <w:tcW w:w="3260" w:type="dxa"/>
          </w:tcPr>
          <w:p w:rsidR="004B43C6" w:rsidRPr="00957597" w:rsidRDefault="004B43C6" w:rsidP="00B400EA">
            <w:pPr>
              <w:contextualSpacing/>
              <w:rPr>
                <w:sz w:val="28"/>
                <w:szCs w:val="28"/>
              </w:rPr>
            </w:pPr>
            <w:r>
              <w:t>витрат не передбачається</w:t>
            </w:r>
          </w:p>
        </w:tc>
      </w:tr>
      <w:tr w:rsidR="004B43C6" w:rsidRPr="00957597" w:rsidTr="00B400EA">
        <w:tc>
          <w:tcPr>
            <w:tcW w:w="2093" w:type="dxa"/>
          </w:tcPr>
          <w:p w:rsidR="004B43C6" w:rsidRPr="00957597" w:rsidRDefault="004B43C6" w:rsidP="00B400EA">
            <w:pPr>
              <w:contextualSpacing/>
              <w:rPr>
                <w:sz w:val="28"/>
                <w:szCs w:val="28"/>
              </w:rPr>
            </w:pPr>
            <w:r>
              <w:t>Міська влада</w:t>
            </w:r>
          </w:p>
        </w:tc>
        <w:tc>
          <w:tcPr>
            <w:tcW w:w="4536" w:type="dxa"/>
          </w:tcPr>
          <w:p w:rsidR="004B43C6" w:rsidRDefault="004B43C6" w:rsidP="00B400EA">
            <w:pPr>
              <w:contextualSpacing/>
            </w:pPr>
            <w:r>
              <w:t>упорядкування відносин між суб'єктами господарювання  у сфері поводження з побутовими відходами;</w:t>
            </w:r>
          </w:p>
          <w:p w:rsidR="004B43C6" w:rsidRPr="00957597" w:rsidRDefault="004B43C6" w:rsidP="00B400EA">
            <w:pPr>
              <w:ind w:left="142"/>
              <w:contextualSpacing/>
              <w:rPr>
                <w:sz w:val="28"/>
                <w:szCs w:val="28"/>
              </w:rPr>
            </w:pPr>
            <w:r>
              <w:t>Економія ресурсів – завдяки вторинному сортуванню відходів можна отримати економію ресурсів, а також продовжити термін експлуатації сміттєзвалища</w:t>
            </w:r>
          </w:p>
        </w:tc>
        <w:tc>
          <w:tcPr>
            <w:tcW w:w="3260" w:type="dxa"/>
          </w:tcPr>
          <w:p w:rsidR="004B43C6" w:rsidRPr="00957597" w:rsidRDefault="004B43C6" w:rsidP="00B400EA">
            <w:pPr>
              <w:contextualSpacing/>
              <w:rPr>
                <w:sz w:val="28"/>
                <w:szCs w:val="28"/>
              </w:rPr>
            </w:pPr>
            <w:r>
              <w:t xml:space="preserve"> витрати на закупівлю контейнері для роздільного сортування відходів в бюджетних закладах</w:t>
            </w:r>
          </w:p>
        </w:tc>
      </w:tr>
      <w:tr w:rsidR="004B43C6" w:rsidRPr="00957597" w:rsidTr="00B400EA">
        <w:tc>
          <w:tcPr>
            <w:tcW w:w="2093" w:type="dxa"/>
          </w:tcPr>
          <w:p w:rsidR="004B43C6" w:rsidRDefault="004B43C6" w:rsidP="00B400EA">
            <w:pPr>
              <w:contextualSpacing/>
            </w:pPr>
            <w:r>
              <w:t xml:space="preserve">Суб’єкти господарювання </w:t>
            </w:r>
          </w:p>
        </w:tc>
        <w:tc>
          <w:tcPr>
            <w:tcW w:w="4536" w:type="dxa"/>
          </w:tcPr>
          <w:p w:rsidR="004B43C6" w:rsidRDefault="004B43C6" w:rsidP="00B400EA">
            <w:pPr>
              <w:contextualSpacing/>
            </w:pPr>
            <w:r>
              <w:t>Позитивний вплив на навколишнє середовище та людей</w:t>
            </w:r>
          </w:p>
        </w:tc>
        <w:tc>
          <w:tcPr>
            <w:tcW w:w="3260" w:type="dxa"/>
          </w:tcPr>
          <w:p w:rsidR="004B43C6" w:rsidRDefault="004B43C6" w:rsidP="00B400EA">
            <w:pPr>
              <w:contextualSpacing/>
            </w:pPr>
            <w:r>
              <w:t>Витрати на закупівлю контейнерів та спецтехніки для роздільного сортування відходів</w:t>
            </w:r>
          </w:p>
        </w:tc>
      </w:tr>
    </w:tbl>
    <w:p w:rsidR="004B43C6" w:rsidRDefault="004B43C6" w:rsidP="004B43C6">
      <w:pPr>
        <w:ind w:left="142" w:firstLine="566"/>
        <w:contextualSpacing/>
        <w:rPr>
          <w:sz w:val="28"/>
          <w:szCs w:val="28"/>
        </w:rPr>
      </w:pPr>
    </w:p>
    <w:p w:rsidR="004B43C6" w:rsidRPr="003E2DD9" w:rsidRDefault="004B43C6" w:rsidP="004B43C6">
      <w:pPr>
        <w:widowControl w:val="0"/>
        <w:numPr>
          <w:ilvl w:val="0"/>
          <w:numId w:val="2"/>
        </w:numPr>
        <w:adjustRightInd w:val="0"/>
        <w:spacing w:line="360" w:lineRule="atLeast"/>
        <w:contextualSpacing/>
        <w:jc w:val="both"/>
      </w:pPr>
      <w:r w:rsidRPr="003E2DD9">
        <w:t>Показники результативності регуляторного акту</w:t>
      </w:r>
    </w:p>
    <w:p w:rsidR="004B43C6" w:rsidRPr="003E2DD9" w:rsidRDefault="004B43C6" w:rsidP="004B43C6">
      <w:pPr>
        <w:ind w:left="142" w:firstLine="566"/>
        <w:contextualSpacing/>
        <w:jc w:val="both"/>
      </w:pPr>
    </w:p>
    <w:p w:rsidR="004B43C6" w:rsidRPr="003E2DD9" w:rsidRDefault="004B43C6" w:rsidP="004B43C6">
      <w:pPr>
        <w:ind w:left="142" w:firstLine="566"/>
        <w:contextualSpacing/>
        <w:jc w:val="both"/>
      </w:pPr>
      <w:r w:rsidRPr="003E2DD9">
        <w:t>З метою відстеження результативності  цього регуляторного акту визначені наступні показники:</w:t>
      </w:r>
    </w:p>
    <w:p w:rsidR="004B43C6" w:rsidRPr="003E2DD9" w:rsidRDefault="004B43C6" w:rsidP="004B43C6">
      <w:pPr>
        <w:widowControl w:val="0"/>
        <w:numPr>
          <w:ilvl w:val="0"/>
          <w:numId w:val="3"/>
        </w:numPr>
        <w:adjustRightInd w:val="0"/>
        <w:spacing w:line="360" w:lineRule="atLeast"/>
        <w:contextualSpacing/>
        <w:jc w:val="both"/>
      </w:pPr>
      <w:r w:rsidRPr="003E2DD9">
        <w:t xml:space="preserve">Кількість суб’єктів господарювання, на яких поширюються вимоги </w:t>
      </w:r>
      <w:proofErr w:type="spellStart"/>
      <w:r w:rsidRPr="003E2DD9">
        <w:t>регуляторног</w:t>
      </w:r>
      <w:proofErr w:type="spellEnd"/>
      <w:r w:rsidRPr="003E2DD9">
        <w:t xml:space="preserve"> акту;</w:t>
      </w:r>
    </w:p>
    <w:p w:rsidR="004B43C6" w:rsidRPr="003E2DD9" w:rsidRDefault="004B43C6" w:rsidP="004B43C6">
      <w:pPr>
        <w:widowControl w:val="0"/>
        <w:numPr>
          <w:ilvl w:val="0"/>
          <w:numId w:val="3"/>
        </w:numPr>
        <w:adjustRightInd w:val="0"/>
        <w:spacing w:line="360" w:lineRule="atLeast"/>
        <w:contextualSpacing/>
        <w:jc w:val="both"/>
      </w:pPr>
      <w:r w:rsidRPr="003E2DD9">
        <w:t xml:space="preserve">Кількість відсортованих відходів за видами: змішані, пластик та скло. </w:t>
      </w:r>
    </w:p>
    <w:p w:rsidR="004B43C6" w:rsidRPr="003E2DD9" w:rsidRDefault="004B43C6" w:rsidP="004B43C6">
      <w:pPr>
        <w:ind w:left="142" w:firstLine="566"/>
        <w:contextualSpacing/>
        <w:jc w:val="both"/>
      </w:pPr>
    </w:p>
    <w:p w:rsidR="004B43C6" w:rsidRPr="003E2DD9" w:rsidRDefault="004B43C6" w:rsidP="004B43C6">
      <w:pPr>
        <w:widowControl w:val="0"/>
        <w:numPr>
          <w:ilvl w:val="0"/>
          <w:numId w:val="2"/>
        </w:numPr>
        <w:adjustRightInd w:val="0"/>
        <w:spacing w:line="360" w:lineRule="atLeast"/>
        <w:contextualSpacing/>
        <w:jc w:val="both"/>
      </w:pPr>
      <w:r w:rsidRPr="003E2DD9">
        <w:t xml:space="preserve">Заходи, за допомогою яких буде </w:t>
      </w:r>
      <w:proofErr w:type="spellStart"/>
      <w:r w:rsidRPr="003E2DD9">
        <w:t>здійснюватись</w:t>
      </w:r>
      <w:proofErr w:type="spellEnd"/>
      <w:r w:rsidRPr="003E2DD9">
        <w:t xml:space="preserve"> відстеження результативності регуляторного акту.</w:t>
      </w:r>
    </w:p>
    <w:p w:rsidR="004B43C6" w:rsidRDefault="004B43C6" w:rsidP="004B43C6">
      <w:pPr>
        <w:ind w:left="142" w:firstLine="566"/>
        <w:contextualSpacing/>
        <w:jc w:val="both"/>
        <w:rPr>
          <w:sz w:val="28"/>
          <w:szCs w:val="28"/>
        </w:rPr>
      </w:pPr>
    </w:p>
    <w:p w:rsidR="004B43C6" w:rsidRPr="00C36593" w:rsidRDefault="004B43C6" w:rsidP="004B43C6">
      <w:pPr>
        <w:ind w:left="142" w:firstLine="566"/>
        <w:contextualSpacing/>
        <w:jc w:val="both"/>
        <w:rPr>
          <w:sz w:val="28"/>
          <w:szCs w:val="28"/>
        </w:rPr>
      </w:pPr>
      <w:r>
        <w:t xml:space="preserve">Відстеження результативності регуляторного </w:t>
      </w:r>
      <w:proofErr w:type="spellStart"/>
      <w:r>
        <w:t>акта</w:t>
      </w:r>
      <w:proofErr w:type="spellEnd"/>
      <w:r>
        <w:t xml:space="preserve"> буде здійснюватися на підставі статистичних даних, виходячи із зазначених показників результативності. Оскільки для визначення значень показників результативності регуляторного </w:t>
      </w:r>
      <w:proofErr w:type="spellStart"/>
      <w:r>
        <w:t>акта</w:t>
      </w:r>
      <w:proofErr w:type="spellEnd"/>
      <w:r>
        <w:t xml:space="preserve"> використовуються виключно статистичні дані, базове відстеження результативності даного регуляторного акту буде проведено через рік з дня набрання ним чинності розробником цього проекту. Повторне відстеження результативності даного регуляторного акту буде проведено через два роки з дня набрання ним чинності. Періодичні відстеження результативності цього регуляторного </w:t>
      </w:r>
      <w:proofErr w:type="spellStart"/>
      <w:r>
        <w:t>акта</w:t>
      </w:r>
      <w:proofErr w:type="spellEnd"/>
      <w:r>
        <w:t xml:space="preserve"> здійснюються раз на кожні три роки, починаючи з дня закінчення заходів з повторного відстеження результативності цього </w:t>
      </w:r>
      <w:proofErr w:type="spellStart"/>
      <w:r>
        <w:t>акта</w:t>
      </w:r>
      <w:proofErr w:type="spellEnd"/>
      <w:r>
        <w:t>.</w:t>
      </w:r>
      <w:r w:rsidRPr="00C36593">
        <w:rPr>
          <w:b/>
          <w:spacing w:val="-2"/>
          <w:sz w:val="28"/>
          <w:szCs w:val="28"/>
        </w:rPr>
        <w:t xml:space="preserve"> </w:t>
      </w:r>
    </w:p>
    <w:p w:rsidR="004B43C6" w:rsidRDefault="004B43C6" w:rsidP="004B43C6">
      <w:pPr>
        <w:pStyle w:val="a4"/>
        <w:widowControl w:val="0"/>
        <w:spacing w:before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B43C6" w:rsidRDefault="004B43C6" w:rsidP="004B43C6"/>
    <w:p w:rsidR="004B43C6" w:rsidRDefault="004B43C6" w:rsidP="004B43C6"/>
    <w:p w:rsidR="004B43C6" w:rsidRPr="00D45239" w:rsidRDefault="004B43C6" w:rsidP="004B43C6">
      <w:r w:rsidRPr="00D45239">
        <w:t xml:space="preserve">        Начальник управління                                                           </w:t>
      </w:r>
      <w:proofErr w:type="spellStart"/>
      <w:r>
        <w:t>О.І.Соколовський</w:t>
      </w:r>
      <w:proofErr w:type="spellEnd"/>
      <w:r w:rsidRPr="00D45239">
        <w:rPr>
          <w:b/>
        </w:rPr>
        <w:t xml:space="preserve">           </w:t>
      </w:r>
    </w:p>
    <w:p w:rsidR="00607D3F" w:rsidRDefault="00607D3F"/>
    <w:sectPr w:rsidR="00607D3F" w:rsidSect="00671B48">
      <w:pgSz w:w="11906" w:h="16838"/>
      <w:pgMar w:top="539" w:right="56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FC1"/>
    <w:multiLevelType w:val="hybridMultilevel"/>
    <w:tmpl w:val="18FAA666"/>
    <w:lvl w:ilvl="0" w:tplc="E1343CD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32347BA"/>
    <w:multiLevelType w:val="hybridMultilevel"/>
    <w:tmpl w:val="C04CDA02"/>
    <w:lvl w:ilvl="0" w:tplc="DDFCC60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E4C18"/>
    <w:multiLevelType w:val="hybridMultilevel"/>
    <w:tmpl w:val="D2B62ADE"/>
    <w:lvl w:ilvl="0" w:tplc="9BFECA26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CF"/>
    <w:rsid w:val="004B43C6"/>
    <w:rsid w:val="00520DCF"/>
    <w:rsid w:val="006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004A-751F-42C0-B4B1-9C59EE03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3C6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B43C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4">
    <w:name w:val="Нормальний текст"/>
    <w:basedOn w:val="a"/>
    <w:link w:val="a5"/>
    <w:rsid w:val="004B43C6"/>
    <w:pPr>
      <w:spacing w:before="120"/>
      <w:ind w:firstLine="567"/>
      <w:jc w:val="both"/>
    </w:pPr>
    <w:rPr>
      <w:rFonts w:ascii="Antiqua" w:hAnsi="Antiqua"/>
      <w:sz w:val="26"/>
      <w:szCs w:val="20"/>
      <w:lang w:val="x-none"/>
    </w:rPr>
  </w:style>
  <w:style w:type="character" w:customStyle="1" w:styleId="a5">
    <w:name w:val="Нормальний текст Знак"/>
    <w:link w:val="a4"/>
    <w:locked/>
    <w:rsid w:val="004B43C6"/>
    <w:rPr>
      <w:rFonts w:ascii="Antiqua" w:eastAsia="Times New Roman" w:hAnsi="Antiqua" w:cs="Times New Roman"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3665</Words>
  <Characters>2090</Characters>
  <Application>Microsoft Office Word</Application>
  <DocSecurity>0</DocSecurity>
  <Lines>17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2018-11-29T12:33:00Z</dcterms:created>
  <dcterms:modified xsi:type="dcterms:W3CDTF">2018-11-29T12:33:00Z</dcterms:modified>
</cp:coreProperties>
</file>