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rPr>
      </w:pPr>
      <w:bookmarkStart w:id="0" w:name="_GoBack"/>
      <w:bookmarkEnd w:id="0"/>
      <w:r>
        <w:rPr>
          <w:b/>
          <w:color w:val="000000"/>
        </w:rPr>
        <w:t>Аналіз регуляторного впливу</w:t>
      </w:r>
    </w:p>
    <w:p>
      <w:pPr>
        <w:pStyle w:val="Normal"/>
        <w:jc w:val="center"/>
        <w:rPr>
          <w:b/>
          <w:b/>
          <w:color w:val="000000"/>
        </w:rPr>
      </w:pPr>
      <w:r>
        <w:rPr>
          <w:b/>
          <w:color w:val="000000"/>
        </w:rPr>
        <w:t>до проекту рішення виконавчого комітету Тернопільської міської ради</w:t>
      </w:r>
    </w:p>
    <w:p>
      <w:pPr>
        <w:pStyle w:val="NoSpacing"/>
        <w:jc w:val="center"/>
        <w:rPr/>
      </w:pPr>
      <w:r>
        <w:rPr>
          <w:rFonts w:ascii="Times New Roman" w:hAnsi="Times New Roman"/>
          <w:b/>
        </w:rPr>
        <w:t xml:space="preserve">«Про </w:t>
      </w:r>
      <w:r>
        <w:rPr>
          <w:rFonts w:ascii="Times New Roman" w:hAnsi="Times New Roman"/>
          <w:b/>
          <w:lang w:val="uk-UA"/>
        </w:rPr>
        <w:t>затвердження Місцевих правил приймання стічних вод до систем централізованого водовідведення міста Тернопіль</w:t>
      </w:r>
      <w:r>
        <w:rPr>
          <w:rFonts w:ascii="Times New Roman" w:hAnsi="Times New Roman"/>
          <w:b/>
        </w:rPr>
        <w:t>»</w:t>
      </w:r>
    </w:p>
    <w:p>
      <w:pPr>
        <w:pStyle w:val="3"/>
        <w:jc w:val="right"/>
        <w:rPr>
          <w:bCs w:val="false"/>
          <w:sz w:val="24"/>
        </w:rPr>
      </w:pPr>
      <w:r>
        <w:rPr>
          <w:bCs w:val="false"/>
          <w:sz w:val="24"/>
        </w:rPr>
      </w:r>
    </w:p>
    <w:p>
      <w:pPr>
        <w:pStyle w:val="NoSpacing"/>
        <w:jc w:val="both"/>
        <w:rPr/>
      </w:pPr>
      <w:r>
        <w:rPr>
          <w:rFonts w:ascii="Times New Roman" w:hAnsi="Times New Roman"/>
          <w:b w:val="false"/>
          <w:bCs w:val="false"/>
        </w:rPr>
        <w:t xml:space="preserve">Назва регуляторного акта: «Про </w:t>
      </w:r>
      <w:r>
        <w:rPr>
          <w:rFonts w:ascii="Times New Roman" w:hAnsi="Times New Roman"/>
          <w:b w:val="false"/>
          <w:bCs w:val="false"/>
          <w:lang w:val="uk-UA"/>
        </w:rPr>
        <w:t>затвердження Місцевих правил приймання стічних вод до систем централізованого водовідведення міста Тернопіль</w:t>
      </w:r>
      <w:r>
        <w:rPr>
          <w:rFonts w:ascii="Times New Roman" w:hAnsi="Times New Roman"/>
        </w:rPr>
        <w:t>».</w:t>
      </w:r>
    </w:p>
    <w:p>
      <w:pPr>
        <w:pStyle w:val="Normal"/>
        <w:jc w:val="both"/>
        <w:rPr/>
      </w:pPr>
      <w:r>
        <w:rPr/>
      </w:r>
    </w:p>
    <w:p>
      <w:pPr>
        <w:pStyle w:val="Normal"/>
        <w:jc w:val="both"/>
        <w:rPr/>
      </w:pPr>
      <w:r>
        <w:rPr/>
        <w:t>Регуляторний орган: виконавчий комітет Тернопільської міської ради</w:t>
      </w:r>
    </w:p>
    <w:p>
      <w:pPr>
        <w:pStyle w:val="Normal"/>
        <w:jc w:val="both"/>
        <w:rPr/>
      </w:pPr>
      <w:r>
        <w:rPr/>
        <w:t>Розробник документа: Комунальне підприємство “Тернопільводоканал”</w:t>
      </w:r>
    </w:p>
    <w:p>
      <w:pPr>
        <w:pStyle w:val="Normal"/>
        <w:rPr/>
      </w:pPr>
      <w:r>
        <w:rPr/>
        <w:t>Контактний телефон: 52-52-20</w:t>
      </w:r>
    </w:p>
    <w:p>
      <w:pPr>
        <w:pStyle w:val="Normal"/>
        <w:spacing w:before="0" w:after="0"/>
        <w:ind w:left="708" w:firstLine="60"/>
        <w:contextualSpacing/>
        <w:rPr/>
      </w:pPr>
      <w:r>
        <w:rPr/>
      </w:r>
    </w:p>
    <w:p>
      <w:pPr>
        <w:pStyle w:val="Normal"/>
        <w:widowControl w:val="false"/>
        <w:numPr>
          <w:ilvl w:val="0"/>
          <w:numId w:val="1"/>
        </w:numPr>
        <w:spacing w:lineRule="atLeast" w:line="360" w:before="0" w:after="0"/>
        <w:contextualSpacing/>
        <w:jc w:val="both"/>
        <w:rPr/>
      </w:pPr>
      <w:r>
        <w:rPr/>
        <w:t>Визначе</w:t>
      </w:r>
      <w:r>
        <w:rPr>
          <w:color w:val="000000"/>
          <w:sz w:val="24"/>
          <w:szCs w:val="24"/>
        </w:rPr>
        <w:t>ння проблеми, яку передбачається розв’язати шляхом регулювання</w:t>
      </w:r>
    </w:p>
    <w:p>
      <w:pPr>
        <w:pStyle w:val="Normal"/>
        <w:spacing w:before="0" w:after="0"/>
        <w:ind w:firstLine="1128"/>
        <w:contextualSpacing/>
        <w:jc w:val="both"/>
        <w:rPr/>
      </w:pPr>
      <w:r>
        <w:rPr>
          <w:color w:val="000000"/>
          <w:sz w:val="24"/>
          <w:szCs w:val="24"/>
        </w:rPr>
        <w:t>Законом України “Про внесення змін до Закону України “Про питну воду та питне водопостачання” №2047-</w:t>
      </w:r>
      <w:r>
        <w:rPr>
          <w:color w:val="000000"/>
          <w:sz w:val="24"/>
          <w:szCs w:val="24"/>
          <w:lang w:val="en-US"/>
        </w:rPr>
        <w:t xml:space="preserve">VIII </w:t>
      </w:r>
      <w:r>
        <w:rPr>
          <w:color w:val="000000"/>
          <w:sz w:val="24"/>
          <w:szCs w:val="24"/>
          <w:lang w:val="uk-UA"/>
        </w:rPr>
        <w:t>від 18.05.2017 віднесено до повноважень органів місцевого самоврядування</w:t>
      </w:r>
      <w:r>
        <w:rPr>
          <w:caps w:val="false"/>
          <w:smallCaps w:val="false"/>
          <w:color w:val="000000"/>
          <w:spacing w:val="0"/>
          <w:sz w:val="24"/>
          <w:szCs w:val="24"/>
          <w:lang w:val="uk-UA"/>
        </w:rPr>
        <w:t xml:space="preserve"> </w:t>
      </w:r>
      <w:r>
        <w:rPr>
          <w:b w:val="false"/>
          <w:i w:val="false"/>
          <w:caps w:val="false"/>
          <w:smallCaps w:val="false"/>
          <w:color w:val="000000"/>
          <w:spacing w:val="0"/>
          <w:sz w:val="24"/>
          <w:szCs w:val="24"/>
          <w:lang w:val="uk-UA"/>
        </w:rPr>
        <w:t xml:space="preserve">затвердження місцевих правил приймання стічних вод до систем </w:t>
      </w:r>
      <w:r>
        <w:rPr>
          <w:b w:val="false"/>
          <w:i w:val="false"/>
          <w:caps w:val="false"/>
          <w:smallCaps w:val="false"/>
          <w:color w:val="000000"/>
          <w:spacing w:val="0"/>
          <w:sz w:val="24"/>
          <w:szCs w:val="24"/>
        </w:rPr>
        <w:t xml:space="preserve">централізованого водовідведення  відповідних  населених  пунктів (абз.5 ст.13 Закону України “Про питну воду, питне водопостачання та водовідведення”), а також визначено правовий статус та зміст </w:t>
      </w:r>
      <w:r>
        <w:rPr>
          <w:b w:val="false"/>
          <w:i w:val="false"/>
          <w:caps w:val="false"/>
          <w:smallCaps w:val="false"/>
          <w:color w:val="000000"/>
          <w:spacing w:val="0"/>
          <w:sz w:val="24"/>
          <w:szCs w:val="24"/>
          <w:lang w:val="uk-UA"/>
        </w:rPr>
        <w:t xml:space="preserve">місцевих правил приймання стічних вод до систем </w:t>
      </w:r>
      <w:r>
        <w:rPr>
          <w:b w:val="false"/>
          <w:i w:val="false"/>
          <w:caps w:val="false"/>
          <w:smallCaps w:val="false"/>
          <w:color w:val="000000"/>
          <w:spacing w:val="0"/>
          <w:sz w:val="24"/>
          <w:szCs w:val="24"/>
        </w:rPr>
        <w:t>централізованого водовідведення відповідних  населених  пунктів (ст.13</w:t>
      </w:r>
      <w:r>
        <w:rPr>
          <w:b w:val="false"/>
          <w:i w:val="false"/>
          <w:caps w:val="false"/>
          <w:smallCaps w:val="false"/>
          <w:color w:val="000000"/>
          <w:spacing w:val="0"/>
          <w:sz w:val="24"/>
          <w:szCs w:val="24"/>
          <w:vertAlign w:val="superscript"/>
        </w:rPr>
        <w:t>1</w:t>
      </w:r>
      <w:r>
        <w:rPr>
          <w:b w:val="false"/>
          <w:i w:val="false"/>
          <w:caps w:val="false"/>
          <w:smallCaps w:val="false"/>
          <w:color w:val="000000"/>
          <w:spacing w:val="0"/>
          <w:sz w:val="24"/>
          <w:szCs w:val="24"/>
        </w:rPr>
        <w:t xml:space="preserve"> Закону України “Пр</w:t>
      </w:r>
      <w:r>
        <w:rPr>
          <w:b w:val="false"/>
          <w:bCs w:val="false"/>
          <w:i w:val="false"/>
          <w:caps w:val="false"/>
          <w:smallCaps w:val="false"/>
          <w:color w:val="000000"/>
          <w:spacing w:val="0"/>
          <w:sz w:val="24"/>
          <w:szCs w:val="24"/>
        </w:rPr>
        <w:t xml:space="preserve">о питну воду, питне водопостачання та водовідведення”). </w:t>
      </w:r>
      <w:bookmarkStart w:id="1" w:name="__DdeLink__41042_1522761096"/>
      <w:r>
        <w:rPr>
          <w:b w:val="false"/>
          <w:bCs w:val="false"/>
          <w:i w:val="false"/>
          <w:caps w:val="false"/>
          <w:smallCaps w:val="false"/>
          <w:color w:val="000000"/>
          <w:spacing w:val="0"/>
          <w:sz w:val="24"/>
          <w:szCs w:val="24"/>
        </w:rPr>
        <w:t xml:space="preserve">Наказом №316 від 01.12.2017 Міністерство регіонального розвитку, будівництва та житлово-комунального господарства України затверджено Правила </w:t>
      </w:r>
      <w:r>
        <w:rPr>
          <w:b w:val="false"/>
          <w:bCs w:val="false"/>
          <w:i w:val="false"/>
          <w:caps w:val="false"/>
          <w:smallCaps w:val="false"/>
          <w:strike w:val="false"/>
          <w:dstrike w:val="false"/>
          <w:color w:val="000000"/>
          <w:spacing w:val="0"/>
          <w:sz w:val="24"/>
          <w:szCs w:val="24"/>
          <w:u w:val="none"/>
          <w:effect w:val="none"/>
        </w:rPr>
        <w:t>приймання стічних вод до систем централізованого водовідведення</w:t>
      </w:r>
      <w:bookmarkEnd w:id="1"/>
      <w:r>
        <w:rPr>
          <w:b w:val="false"/>
          <w:bCs w:val="false"/>
          <w:i w:val="false"/>
          <w:caps w:val="false"/>
          <w:smallCaps w:val="false"/>
          <w:strike w:val="false"/>
          <w:dstrike w:val="false"/>
          <w:color w:val="000000"/>
          <w:spacing w:val="0"/>
          <w:sz w:val="24"/>
          <w:szCs w:val="24"/>
          <w:u w:val="none"/>
          <w:effect w:val="none"/>
        </w:rPr>
        <w:t>. Відповідно до п.4 цих Правил</w:t>
      </w:r>
      <w:r>
        <w:rPr>
          <w:b w:val="false"/>
          <w:bCs w:val="false"/>
          <w:i w:val="false"/>
          <w:caps w:val="false"/>
          <w:smallCaps w:val="false"/>
          <w:color w:val="000000"/>
          <w:spacing w:val="0"/>
          <w:sz w:val="24"/>
          <w:szCs w:val="24"/>
        </w:rPr>
        <w:t xml:space="preserve"> виробник розробляє місцеві Правила приймання, в яких враховують місцеві особливості приймання та очищення стічних вод, а також визначають допустимі концентрації забруднюючих речовин, що можуть скидати до системи централізованого водовідведення.</w:t>
      </w:r>
      <w:bookmarkStart w:id="2" w:name="n48"/>
      <w:bookmarkEnd w:id="2"/>
      <w:r>
        <w:rPr>
          <w:b w:val="false"/>
          <w:bCs w:val="false"/>
          <w:i w:val="false"/>
          <w:caps w:val="false"/>
          <w:smallCaps w:val="false"/>
          <w:color w:val="000000"/>
          <w:spacing w:val="0"/>
          <w:sz w:val="24"/>
          <w:szCs w:val="24"/>
        </w:rPr>
        <w:t xml:space="preserve"> Місцеві правила приймання затверджуються органами місцевого самоврядування та є обов’язковими для виробників та споживачів.</w:t>
      </w:r>
    </w:p>
    <w:p>
      <w:pPr>
        <w:pStyle w:val="Normal"/>
        <w:spacing w:before="0" w:after="0"/>
        <w:ind w:firstLine="1128"/>
        <w:contextualSpacing/>
        <w:jc w:val="both"/>
        <w:rPr>
          <w:rFonts w:ascii="Times New Roman" w:hAnsi="Times New Roman"/>
          <w:b w:val="false"/>
          <w:b w:val="false"/>
          <w:bCs w:val="false"/>
          <w:color w:val="000000"/>
          <w:sz w:val="24"/>
          <w:szCs w:val="24"/>
        </w:rPr>
      </w:pPr>
      <w:r>
        <w:rPr>
          <w:b w:val="false"/>
          <w:bCs w:val="false"/>
          <w:color w:val="000000"/>
          <w:sz w:val="24"/>
          <w:szCs w:val="24"/>
        </w:rPr>
      </w:r>
    </w:p>
    <w:p>
      <w:pPr>
        <w:pStyle w:val="Normal"/>
        <w:spacing w:before="0" w:after="0"/>
        <w:ind w:left="768" w:hanging="0"/>
        <w:contextualSpacing/>
        <w:jc w:val="both"/>
        <w:rPr>
          <w:sz w:val="28"/>
          <w:szCs w:val="28"/>
        </w:rPr>
      </w:pPr>
      <w:r>
        <w:rPr/>
        <w:t>2.Ціл</w:t>
      </w:r>
      <w:r>
        <w:rPr>
          <w:sz w:val="24"/>
          <w:szCs w:val="24"/>
        </w:rPr>
        <w:t>і регулювання</w:t>
      </w:r>
    </w:p>
    <w:p>
      <w:pPr>
        <w:pStyle w:val="Normal"/>
        <w:widowControl/>
        <w:spacing w:before="0" w:after="0"/>
        <w:ind w:left="0" w:right="0" w:firstLine="709"/>
        <w:jc w:val="both"/>
        <w:rPr/>
      </w:pPr>
      <w:r>
        <w:rPr>
          <w:color w:val="000000"/>
          <w:sz w:val="24"/>
          <w:szCs w:val="24"/>
        </w:rPr>
        <w:t xml:space="preserve">Правила розроблено з метою: </w:t>
      </w:r>
      <w:bookmarkStart w:id="3" w:name="__DdeLink__8485_2436690996"/>
      <w:r>
        <w:rPr>
          <w:color w:val="000000"/>
          <w:sz w:val="24"/>
          <w:szCs w:val="24"/>
        </w:rPr>
        <w:t>захисту здоров’я персоналу систем збирання, відведення стічних вод та очисних споруд; запобігання псуванню обладнання систем водовідведення, очисних і суміжних з ними підприємств; гарантування безперебійної в межах регламентних норм роботи споруд очищення стічних вод та обробки осадів; гарантування, що скиди стічних вод з очисних споруд не спричинять згубного впливу на навколишнє середовище; гарантування, що осад може бути утилізований у безпечний і прийнятний для навколишнього середовища спосіб</w:t>
      </w:r>
      <w:bookmarkEnd w:id="3"/>
      <w:r>
        <w:rPr>
          <w:color w:val="000000"/>
          <w:sz w:val="24"/>
          <w:szCs w:val="24"/>
        </w:rPr>
        <w:t>.</w:t>
      </w:r>
    </w:p>
    <w:p>
      <w:pPr>
        <w:pStyle w:val="Normal"/>
        <w:ind w:firstLine="709"/>
        <w:jc w:val="both"/>
        <w:rPr/>
      </w:pPr>
      <w:r>
        <w:rPr/>
      </w:r>
    </w:p>
    <w:p>
      <w:pPr>
        <w:pStyle w:val="Normal"/>
        <w:widowControl w:val="false"/>
        <w:numPr>
          <w:ilvl w:val="0"/>
          <w:numId w:val="2"/>
        </w:numPr>
        <w:spacing w:lineRule="atLeast" w:line="360" w:before="0" w:after="0"/>
        <w:contextualSpacing/>
        <w:jc w:val="both"/>
        <w:rPr/>
      </w:pPr>
      <w:r>
        <w:rPr/>
        <w:t>Визначення та оцінка альтернативних способів досягнення встановлених цілей</w:t>
      </w:r>
    </w:p>
    <w:p>
      <w:pPr>
        <w:pStyle w:val="Normal"/>
        <w:spacing w:before="0" w:after="0"/>
        <w:ind w:firstLine="708"/>
        <w:contextualSpacing/>
        <w:jc w:val="both"/>
        <w:rPr/>
      </w:pPr>
      <w:r>
        <w:rPr/>
        <w:t>Запропонований спосіб досягнення встановлених цілей визначений безпосередньо законодавством (</w:t>
      </w:r>
      <w:r>
        <w:rPr>
          <w:b w:val="false"/>
          <w:i w:val="false"/>
          <w:caps w:val="false"/>
          <w:smallCaps w:val="false"/>
          <w:color w:val="000000"/>
          <w:spacing w:val="0"/>
          <w:sz w:val="24"/>
          <w:szCs w:val="24"/>
        </w:rPr>
        <w:t>Закон України “Про питну воду, питне водопостачання та водовідведення”, П</w:t>
      </w:r>
      <w:r>
        <w:rPr>
          <w:b w:val="false"/>
          <w:bCs w:val="false"/>
          <w:i w:val="false"/>
          <w:caps w:val="false"/>
          <w:smallCaps w:val="false"/>
          <w:color w:val="000000"/>
          <w:spacing w:val="0"/>
          <w:sz w:val="24"/>
          <w:szCs w:val="24"/>
        </w:rPr>
        <w:t xml:space="preserve">равила </w:t>
      </w:r>
      <w:r>
        <w:rPr>
          <w:b w:val="false"/>
          <w:bCs w:val="false"/>
          <w:i w:val="false"/>
          <w:caps w:val="false"/>
          <w:smallCaps w:val="false"/>
          <w:strike w:val="false"/>
          <w:dstrike w:val="false"/>
          <w:color w:val="000000"/>
          <w:spacing w:val="0"/>
          <w:sz w:val="24"/>
          <w:szCs w:val="24"/>
          <w:u w:val="none"/>
          <w:effect w:val="none"/>
        </w:rPr>
        <w:t>приймання стічних вод до систем централізованого водовідведення). Тому альтернативні способи не розглядалися.</w:t>
      </w:r>
    </w:p>
    <w:p>
      <w:pPr>
        <w:pStyle w:val="Normal"/>
        <w:spacing w:before="0" w:after="0"/>
        <w:ind w:firstLine="708"/>
        <w:contextualSpacing/>
        <w:jc w:val="both"/>
        <w:rPr/>
      </w:pPr>
      <w:r>
        <w:rPr/>
      </w:r>
    </w:p>
    <w:p>
      <w:pPr>
        <w:pStyle w:val="Normal"/>
        <w:widowControl w:val="false"/>
        <w:numPr>
          <w:ilvl w:val="0"/>
          <w:numId w:val="2"/>
        </w:numPr>
        <w:spacing w:lineRule="atLeast" w:line="360" w:before="0" w:after="0"/>
        <w:contextualSpacing/>
        <w:jc w:val="both"/>
        <w:rPr/>
      </w:pPr>
      <w:r>
        <w:rPr/>
        <w:t>Механ</w:t>
      </w:r>
      <w:r>
        <w:rPr>
          <w:color w:val="000000"/>
          <w:sz w:val="24"/>
          <w:szCs w:val="24"/>
        </w:rPr>
        <w:t>ізм та заходи, що пропонуються для розв’язання проблеми</w:t>
      </w:r>
    </w:p>
    <w:p>
      <w:pPr>
        <w:pStyle w:val="Normal"/>
        <w:spacing w:before="0" w:after="0"/>
        <w:ind w:firstLine="1128"/>
        <w:contextualSpacing/>
        <w:jc w:val="both"/>
        <w:rPr>
          <w:rFonts w:ascii="Times New Roman" w:hAnsi="Times New Roman"/>
          <w:color w:val="000000"/>
          <w:sz w:val="24"/>
          <w:szCs w:val="24"/>
        </w:rPr>
      </w:pPr>
      <w:r>
        <w:rPr>
          <w:color w:val="000000"/>
          <w:sz w:val="24"/>
          <w:szCs w:val="24"/>
        </w:rPr>
        <w:t xml:space="preserve">Мета затвердження </w:t>
      </w:r>
      <w:r>
        <w:rPr>
          <w:b w:val="false"/>
          <w:bCs w:val="false"/>
          <w:color w:val="000000"/>
          <w:sz w:val="24"/>
          <w:szCs w:val="24"/>
          <w:lang w:val="uk-UA"/>
        </w:rPr>
        <w:t xml:space="preserve">Місцевих правил приймання стічних вод до систем централізованого водовідведення міста Тернопіль досягається шляхом нормативного визначення: </w:t>
      </w:r>
      <w:r>
        <w:rPr>
          <w:b w:val="false"/>
          <w:i w:val="false"/>
          <w:caps w:val="false"/>
          <w:smallCaps w:val="false"/>
          <w:color w:val="000000"/>
          <w:spacing w:val="0"/>
          <w:sz w:val="24"/>
          <w:szCs w:val="24"/>
        </w:rPr>
        <w:t>основних вимог щодо приймання стічних вод населеного пункту підприємствами централізованого водовідведення; популяційного еквіваленту населеного пункту; основних вимог щодо скидання стічних вод до систем централізованого водовідведення суб’єктами господарювання; вимог щодо якості і режиму скидання стічних вод; визначення механізму контролю за скиданням стічних вод; розміру плати, що справляється із суб’єктів господарювання за понаднормативні скиди стічних вод до систем централізованого водовідведення та за порушення вимог щодо якості і режиму скидання стічних вод; механізму компенсації власнику мереж, споруд, устаткування системи централізованого водовідведення відповідного населеного пункту витрат на відновлення таких мереж, споруд, устаткування, зумовлених їх пошкодженням чи руйнуванням внаслідок порушення вимог щодо скидання стічних вод; інших вимог, передбачених законом.</w:t>
      </w:r>
    </w:p>
    <w:p>
      <w:pPr>
        <w:pStyle w:val="Normal"/>
        <w:spacing w:before="0" w:after="0"/>
        <w:ind w:firstLine="1128"/>
        <w:contextualSpacing/>
        <w:jc w:val="both"/>
        <w:rPr>
          <w:rFonts w:ascii="Times New Roman" w:hAnsi="Times New Roman"/>
          <w:color w:val="000000"/>
          <w:sz w:val="24"/>
          <w:szCs w:val="24"/>
        </w:rPr>
      </w:pPr>
      <w:r>
        <w:rPr>
          <w:color w:val="000000"/>
          <w:sz w:val="24"/>
          <w:szCs w:val="24"/>
        </w:rPr>
      </w:r>
    </w:p>
    <w:p>
      <w:pPr>
        <w:pStyle w:val="Normal"/>
        <w:widowControl w:val="false"/>
        <w:numPr>
          <w:ilvl w:val="0"/>
          <w:numId w:val="2"/>
        </w:numPr>
        <w:spacing w:lineRule="atLeast" w:line="360" w:before="0" w:after="0"/>
        <w:contextualSpacing/>
        <w:jc w:val="both"/>
        <w:rPr/>
      </w:pPr>
      <w:r>
        <w:rPr>
          <w:color w:val="000000"/>
          <w:sz w:val="24"/>
          <w:szCs w:val="24"/>
        </w:rPr>
        <w:t>Можливість досяг</w:t>
      </w:r>
      <w:r>
        <w:rPr/>
        <w:t>нення визначених цілей у разі прийняття регуляторного акту</w:t>
      </w:r>
    </w:p>
    <w:p>
      <w:pPr>
        <w:pStyle w:val="Normal"/>
        <w:spacing w:before="0" w:after="0"/>
        <w:ind w:firstLine="768"/>
        <w:contextualSpacing/>
        <w:jc w:val="both"/>
        <w:rPr/>
      </w:pPr>
      <w:r>
        <w:rPr/>
        <w:t xml:space="preserve">Пропонований регуляторний акт розроблено з урахуванням вимог </w:t>
      </w:r>
      <w:r>
        <w:rPr>
          <w:b w:val="false"/>
          <w:bCs w:val="false"/>
          <w:i w:val="false"/>
          <w:caps w:val="false"/>
          <w:smallCaps w:val="false"/>
          <w:color w:val="000000"/>
          <w:spacing w:val="0"/>
          <w:sz w:val="24"/>
          <w:szCs w:val="24"/>
        </w:rPr>
        <w:t xml:space="preserve">Правил </w:t>
      </w:r>
      <w:r>
        <w:rPr>
          <w:b w:val="false"/>
          <w:bCs w:val="false"/>
          <w:i w:val="false"/>
          <w:caps w:val="false"/>
          <w:smallCaps w:val="false"/>
          <w:strike w:val="false"/>
          <w:dstrike w:val="false"/>
          <w:color w:val="000000"/>
          <w:spacing w:val="0"/>
          <w:sz w:val="24"/>
          <w:szCs w:val="24"/>
          <w:u w:val="none"/>
          <w:effect w:val="none"/>
        </w:rPr>
        <w:t xml:space="preserve">приймання стічних вод до систем централізованого водовідведення, затверджених </w:t>
      </w:r>
      <w:r>
        <w:rPr>
          <w:b w:val="false"/>
          <w:bCs w:val="false"/>
          <w:i w:val="false"/>
          <w:caps w:val="false"/>
          <w:smallCaps w:val="false"/>
          <w:color w:val="000000"/>
          <w:spacing w:val="0"/>
          <w:sz w:val="24"/>
          <w:szCs w:val="24"/>
        </w:rPr>
        <w:t>Наказом №316 від 01.12.2017 Міністерства регіонального розвитку, будівництва та житлово-комунального господарства України.</w:t>
      </w:r>
    </w:p>
    <w:p>
      <w:pPr>
        <w:pStyle w:val="Normal"/>
        <w:spacing w:before="0" w:after="0"/>
        <w:ind w:firstLine="768"/>
        <w:contextualSpacing/>
        <w:jc w:val="both"/>
        <w:rPr/>
      </w:pPr>
      <w:r>
        <w:rPr/>
      </w:r>
    </w:p>
    <w:p>
      <w:pPr>
        <w:pStyle w:val="Normal"/>
        <w:widowControl w:val="false"/>
        <w:numPr>
          <w:ilvl w:val="0"/>
          <w:numId w:val="2"/>
        </w:numPr>
        <w:spacing w:lineRule="atLeast" w:line="360" w:before="0" w:after="0"/>
        <w:contextualSpacing/>
        <w:jc w:val="both"/>
        <w:rPr/>
      </w:pPr>
      <w:r>
        <w:rPr/>
        <w:t>Очікувані результати від прийняття регуляторного акту. Аналіз вигод та витрат.</w:t>
      </w:r>
    </w:p>
    <w:p>
      <w:pPr>
        <w:pStyle w:val="Normal"/>
        <w:spacing w:before="0" w:after="0"/>
        <w:contextualSpacing/>
        <w:jc w:val="both"/>
        <w:rPr/>
      </w:pPr>
      <w:r>
        <w:rPr/>
        <w:tab/>
        <w:t>Результатом від прийняття регуляторного акту буде чітке врегулювання відносин у сфері водовідведення та забезпечення надійності функціонування систем водовідведення.</w:t>
      </w:r>
    </w:p>
    <w:p>
      <w:pPr>
        <w:pStyle w:val="Normal"/>
        <w:spacing w:before="0" w:after="0"/>
        <w:contextualSpacing/>
        <w:jc w:val="both"/>
        <w:rPr>
          <w:sz w:val="28"/>
          <w:szCs w:val="28"/>
        </w:rPr>
      </w:pPr>
      <w:r>
        <w:rPr>
          <w:sz w:val="28"/>
          <w:szCs w:val="28"/>
        </w:rPr>
      </w:r>
    </w:p>
    <w:p>
      <w:pPr>
        <w:pStyle w:val="Normal"/>
        <w:widowControl w:val="false"/>
        <w:numPr>
          <w:ilvl w:val="0"/>
          <w:numId w:val="2"/>
        </w:numPr>
        <w:spacing w:lineRule="atLeast" w:line="360" w:before="0" w:after="0"/>
        <w:contextualSpacing/>
        <w:jc w:val="both"/>
        <w:rPr/>
      </w:pPr>
      <w:r>
        <w:rPr/>
        <w:t>Показники результативності регуляторного акту</w:t>
      </w:r>
    </w:p>
    <w:p>
      <w:pPr>
        <w:pStyle w:val="Normal"/>
        <w:spacing w:before="0" w:after="0"/>
        <w:ind w:left="142" w:firstLine="566"/>
        <w:contextualSpacing/>
        <w:jc w:val="both"/>
        <w:rPr/>
      </w:pPr>
      <w:r>
        <w:rPr/>
        <w:t>З метою відстеження результативності цього регуляторного акту визначені наступні показники: кількість споживачів, які користуються системами централізованого водовідведення та послугами асенізаційного транспорту, кількість виявлених випадків перевищення понаднормативних скидів забруднюючих речовин у системи централізованого водовідведення.</w:t>
      </w:r>
    </w:p>
    <w:p>
      <w:pPr>
        <w:pStyle w:val="Normal"/>
        <w:spacing w:before="0" w:after="0"/>
        <w:ind w:left="142" w:firstLine="566"/>
        <w:contextualSpacing/>
        <w:jc w:val="both"/>
        <w:rPr/>
      </w:pPr>
      <w:r>
        <w:rPr/>
      </w:r>
    </w:p>
    <w:p>
      <w:pPr>
        <w:pStyle w:val="Normal"/>
        <w:widowControl w:val="false"/>
        <w:numPr>
          <w:ilvl w:val="0"/>
          <w:numId w:val="2"/>
        </w:numPr>
        <w:spacing w:lineRule="atLeast" w:line="360" w:before="0" w:after="0"/>
        <w:contextualSpacing/>
        <w:jc w:val="both"/>
        <w:rPr/>
      </w:pPr>
      <w:r>
        <w:rPr/>
        <w:t>Заходи, за допомогою яких буде здійснюватись відстеження результативності регуляторного акту.</w:t>
      </w:r>
    </w:p>
    <w:p>
      <w:pPr>
        <w:pStyle w:val="Normal"/>
        <w:spacing w:before="0" w:after="0"/>
        <w:ind w:left="142" w:firstLine="566"/>
        <w:contextualSpacing/>
        <w:jc w:val="both"/>
        <w:rPr/>
      </w:pPr>
      <w:r>
        <w:rPr/>
        <w:t>Відстеження результативності регуляторного акта буде здійснюватися на підставі статистичних даних, виходячи із зазначених показників результативності. Оскільки для визначення значень показників результативності регуляторного акта використовуються виключно статистичні дані, базове відстеження результативності даного регуляторного акту буде проведено через рік з дня набрання ним чинності. Повторне відстеження результативності даного регуляторного акту буде проведено через два роки з дня набрання ним чинності. Періодичні відстеження результативності цього регуляторного акта здійснюються раз на кожні три роки, починаючи з дня закінчення заходів з повторного відстеження результативності цього акта.</w:t>
      </w:r>
    </w:p>
    <w:p>
      <w:pPr>
        <w:pStyle w:val="Style19"/>
        <w:widowControl w:val="false"/>
        <w:spacing w:before="0" w:after="0"/>
        <w:ind w:firstLine="709"/>
        <w:rPr>
          <w:rFonts w:ascii="Times New Roman" w:hAnsi="Times New Roman"/>
          <w:sz w:val="28"/>
          <w:szCs w:val="28"/>
          <w:lang w:val="uk-UA"/>
        </w:rPr>
      </w:pPr>
      <w:r>
        <w:rPr>
          <w:rFonts w:ascii="Times New Roman" w:hAnsi="Times New Roman"/>
          <w:sz w:val="28"/>
          <w:szCs w:val="28"/>
          <w:lang w:val="uk-UA"/>
        </w:rPr>
      </w:r>
    </w:p>
    <w:p>
      <w:pPr>
        <w:pStyle w:val="Normal"/>
        <w:rPr/>
      </w:pPr>
      <w:r>
        <w:rPr/>
      </w:r>
    </w:p>
    <w:p>
      <w:pPr>
        <w:pStyle w:val="Normal"/>
        <w:rPr/>
      </w:pPr>
      <w:r>
        <w:rPr/>
      </w:r>
    </w:p>
    <w:p>
      <w:pPr>
        <w:pStyle w:val="Normal"/>
        <w:rPr/>
      </w:pPr>
      <w:r>
        <w:rPr/>
        <w:t xml:space="preserve">        </w:t>
      </w:r>
      <w:r>
        <w:rPr/>
        <w:t xml:space="preserve">Начальник управління </w:t>
      </w:r>
      <w:r>
        <w:rPr/>
        <w:t>ЖКГБтаЕ</w:t>
      </w:r>
      <w:r>
        <w:rPr/>
        <w:tab/>
        <w:tab/>
        <w:tab/>
        <w:tab/>
        <w:tab/>
        <w:tab/>
        <w:t>О. І. Соколовський</w:t>
      </w:r>
    </w:p>
    <w:sectPr>
      <w:type w:val="nextPage"/>
      <w:pgSz w:w="11906" w:h="16838"/>
      <w:pgMar w:left="1260" w:right="567" w:header="0" w:top="539" w:footer="0" w:bottom="36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ntiqua">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28" w:hanging="360"/>
      </w:pPr>
    </w:lvl>
    <w:lvl w:ilvl="1">
      <w:start w:val="1"/>
      <w:numFmt w:val="lowerLetter"/>
      <w:lvlText w:val="%2."/>
      <w:lvlJc w:val="left"/>
      <w:pPr>
        <w:ind w:left="1848" w:hanging="360"/>
      </w:pPr>
    </w:lvl>
    <w:lvl w:ilvl="2">
      <w:start w:val="1"/>
      <w:numFmt w:val="lowerRoman"/>
      <w:lvlText w:val="%3."/>
      <w:lvlJc w:val="right"/>
      <w:pPr>
        <w:ind w:left="2568" w:hanging="180"/>
      </w:pPr>
    </w:lvl>
    <w:lvl w:ilvl="3">
      <w:start w:val="1"/>
      <w:numFmt w:val="decimal"/>
      <w:lvlText w:val="%4."/>
      <w:lvlJc w:val="left"/>
      <w:pPr>
        <w:ind w:left="3288" w:hanging="360"/>
      </w:pPr>
    </w:lvl>
    <w:lvl w:ilvl="4">
      <w:start w:val="1"/>
      <w:numFmt w:val="lowerLetter"/>
      <w:lvlText w:val="%5."/>
      <w:lvlJc w:val="left"/>
      <w:pPr>
        <w:ind w:left="4008" w:hanging="360"/>
      </w:pPr>
    </w:lvl>
    <w:lvl w:ilvl="5">
      <w:start w:val="1"/>
      <w:numFmt w:val="lowerRoman"/>
      <w:lvlText w:val="%6."/>
      <w:lvlJc w:val="right"/>
      <w:pPr>
        <w:ind w:left="4728" w:hanging="180"/>
      </w:pPr>
    </w:lvl>
    <w:lvl w:ilvl="6">
      <w:start w:val="1"/>
      <w:numFmt w:val="decimal"/>
      <w:lvlText w:val="%7."/>
      <w:lvlJc w:val="left"/>
      <w:pPr>
        <w:ind w:left="5448" w:hanging="360"/>
      </w:pPr>
    </w:lvl>
    <w:lvl w:ilvl="7">
      <w:start w:val="1"/>
      <w:numFmt w:val="lowerLetter"/>
      <w:lvlText w:val="%8."/>
      <w:lvlJc w:val="left"/>
      <w:pPr>
        <w:ind w:left="6168" w:hanging="360"/>
      </w:pPr>
    </w:lvl>
    <w:lvl w:ilvl="8">
      <w:start w:val="1"/>
      <w:numFmt w:val="lowerRoman"/>
      <w:lvlText w:val="%9."/>
      <w:lvlJc w:val="right"/>
      <w:pPr>
        <w:ind w:left="6888" w:hanging="180"/>
      </w:pPr>
    </w:lvl>
  </w:abstractNum>
  <w:abstractNum w:abstractNumId="2">
    <w:lvl w:ilvl="0">
      <w:start w:val="3"/>
      <w:numFmt w:val="decimal"/>
      <w:lvlText w:val="%1."/>
      <w:lvlJc w:val="left"/>
      <w:pPr>
        <w:ind w:left="1128" w:hanging="360"/>
      </w:pPr>
    </w:lvl>
    <w:lvl w:ilvl="1">
      <w:start w:val="1"/>
      <w:numFmt w:val="lowerLetter"/>
      <w:lvlText w:val="%2."/>
      <w:lvlJc w:val="left"/>
      <w:pPr>
        <w:ind w:left="1848" w:hanging="360"/>
      </w:pPr>
    </w:lvl>
    <w:lvl w:ilvl="2">
      <w:start w:val="1"/>
      <w:numFmt w:val="lowerRoman"/>
      <w:lvlText w:val="%3."/>
      <w:lvlJc w:val="right"/>
      <w:pPr>
        <w:ind w:left="2568" w:hanging="180"/>
      </w:pPr>
    </w:lvl>
    <w:lvl w:ilvl="3">
      <w:start w:val="1"/>
      <w:numFmt w:val="decimal"/>
      <w:lvlText w:val="%4."/>
      <w:lvlJc w:val="left"/>
      <w:pPr>
        <w:ind w:left="3288" w:hanging="360"/>
      </w:pPr>
    </w:lvl>
    <w:lvl w:ilvl="4">
      <w:start w:val="1"/>
      <w:numFmt w:val="lowerLetter"/>
      <w:lvlText w:val="%5."/>
      <w:lvlJc w:val="left"/>
      <w:pPr>
        <w:ind w:left="4008" w:hanging="360"/>
      </w:pPr>
    </w:lvl>
    <w:lvl w:ilvl="5">
      <w:start w:val="1"/>
      <w:numFmt w:val="lowerRoman"/>
      <w:lvlText w:val="%6."/>
      <w:lvlJc w:val="right"/>
      <w:pPr>
        <w:ind w:left="4728" w:hanging="180"/>
      </w:pPr>
    </w:lvl>
    <w:lvl w:ilvl="6">
      <w:start w:val="1"/>
      <w:numFmt w:val="decimal"/>
      <w:lvlText w:val="%7."/>
      <w:lvlJc w:val="left"/>
      <w:pPr>
        <w:ind w:left="5448" w:hanging="360"/>
      </w:pPr>
    </w:lvl>
    <w:lvl w:ilvl="7">
      <w:start w:val="1"/>
      <w:numFmt w:val="lowerLetter"/>
      <w:lvlText w:val="%8."/>
      <w:lvlJc w:val="left"/>
      <w:pPr>
        <w:ind w:left="6168" w:hanging="360"/>
      </w:pPr>
    </w:lvl>
    <w:lvl w:ilvl="8">
      <w:start w:val="1"/>
      <w:numFmt w:val="lowerRoman"/>
      <w:lvlText w:val="%9."/>
      <w:lvlJc w:val="right"/>
      <w:pPr>
        <w:ind w:left="6888"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b43c6"/>
    <w:pPr>
      <w:widowControl/>
      <w:bidi w:val="0"/>
      <w:spacing w:lineRule="auto" w:line="240" w:before="0" w:after="0"/>
      <w:jc w:val="left"/>
    </w:pPr>
    <w:rPr>
      <w:rFonts w:ascii="Times New Roman" w:hAnsi="Times New Roman" w:eastAsia="Times New Roman" w:cs="Times New Roman"/>
      <w:color w:val="auto"/>
      <w:kern w:val="0"/>
      <w:sz w:val="24"/>
      <w:szCs w:val="24"/>
      <w:lang w:val="uk-UA" w:eastAsia="ru-RU" w:bidi="ar-SA"/>
    </w:rPr>
  </w:style>
  <w:style w:type="paragraph" w:styleId="3">
    <w:name w:val="Heading 3"/>
    <w:basedOn w:val="Normal"/>
    <w:next w:val="Normal"/>
    <w:link w:val="30"/>
    <w:qFormat/>
    <w:rsid w:val="004b43c6"/>
    <w:pPr>
      <w:keepNext w:val="true"/>
      <w:widowControl w:val="false"/>
      <w:spacing w:lineRule="atLeast" w:line="360"/>
      <w:jc w:val="both"/>
      <w:outlineLvl w:val="2"/>
    </w:pPr>
    <w:rPr>
      <w:b/>
      <w:bCs/>
      <w:sz w:val="28"/>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qFormat/>
    <w:rsid w:val="004b43c6"/>
    <w:rPr>
      <w:rFonts w:ascii="Times New Roman" w:hAnsi="Times New Roman" w:eastAsia="Times New Roman" w:cs="Times New Roman"/>
      <w:b/>
      <w:bCs/>
      <w:sz w:val="28"/>
      <w:szCs w:val="24"/>
      <w:lang w:eastAsia="ru-RU"/>
    </w:rPr>
  </w:style>
  <w:style w:type="character" w:styleId="Style13" w:customStyle="1">
    <w:name w:val="Нормальний текст Знак"/>
    <w:link w:val="a4"/>
    <w:qFormat/>
    <w:locked/>
    <w:rsid w:val="004b43c6"/>
    <w:rPr>
      <w:rFonts w:ascii="Antiqua" w:hAnsi="Antiqua" w:eastAsia="Times New Roman" w:cs="Times New Roman"/>
      <w:sz w:val="26"/>
      <w:szCs w:val="20"/>
      <w:lang w:val="x-none" w:eastAsia="ru-RU"/>
    </w:rPr>
  </w:style>
  <w:style w:type="character" w:styleId="ListLabel1">
    <w:name w:val="ListLabel 1"/>
    <w:qFormat/>
    <w:rPr>
      <w:rFont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NoSpacing">
    <w:name w:val="No Spacing"/>
    <w:uiPriority w:val="1"/>
    <w:qFormat/>
    <w:rsid w:val="004b43c6"/>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ru-RU" w:eastAsia="en-US" w:bidi="ar-SA"/>
    </w:rPr>
  </w:style>
  <w:style w:type="paragraph" w:styleId="Style19" w:customStyle="1">
    <w:name w:val="Нормальний текст"/>
    <w:basedOn w:val="Normal"/>
    <w:link w:val="a5"/>
    <w:qFormat/>
    <w:rsid w:val="004b43c6"/>
    <w:pPr>
      <w:spacing w:before="120" w:after="0"/>
      <w:ind w:firstLine="567"/>
      <w:jc w:val="both"/>
    </w:pPr>
    <w:rPr>
      <w:rFonts w:ascii="Antiqua" w:hAnsi="Antiqua"/>
      <w:sz w:val="26"/>
      <w:szCs w:val="20"/>
      <w:lang w:val="x-none"/>
    </w:rPr>
  </w:style>
  <w:style w:type="paragraph" w:styleId="Style20">
    <w:name w:val="Текст у вказаному форматі"/>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LibreOffice/6.1.2.1$Windows_X86_64 LibreOffice_project/65905a128db06ba48db947242809d14d3f9a93fe</Application>
  <Pages>2</Pages>
  <Words>651</Words>
  <Characters>5019</Characters>
  <CharactersWithSpaces>5658</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2018-12-23T12:22:00Z</dcterms:created>
  <dc:creator>Maria Pogrizhuk</dc:creator>
  <dc:description/>
  <dc:language>uk-UA</dc:language>
  <cp:lastModifiedBy/>
  <dcterms:modified xsi:type="dcterms:W3CDTF">2019-01-09T12:49:24Z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